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0DE1" w:rsidR="00BC4CA3" w:rsidRDefault="00BC4CA3" w14:paraId="327280A7" w14:textId="77777777">
      <w:pPr>
        <w:pStyle w:val="BodyText"/>
        <w:spacing w:before="155"/>
        <w:rPr>
          <w:rFonts w:ascii="Times New Roman"/>
          <w:sz w:val="18"/>
          <w:lang w:val="fr-FR"/>
        </w:rPr>
      </w:pPr>
    </w:p>
    <w:p w:rsidRPr="00830DE1" w:rsidR="00BC4CA3" w:rsidRDefault="00000000" w14:paraId="6DBE5378" w14:textId="77777777">
      <w:pPr>
        <w:pStyle w:val="BodyText"/>
        <w:ind w:left="7186"/>
        <w:rPr>
          <w:rFonts w:ascii="Times New Roman"/>
          <w:sz w:val="18"/>
          <w:lang w:val="fr-FR"/>
        </w:rPr>
      </w:pPr>
      <w:r w:rsidRPr="00830DE1">
        <w:rPr>
          <w:rFonts w:ascii="Times New Roman"/>
          <w:noProof/>
          <w:sz w:val="18"/>
          <w:lang w:val="fr-FR"/>
        </w:rPr>
        <w:drawing>
          <wp:inline distT="0" distB="0" distL="0" distR="0" wp14:anchorId="1CF61E65" wp14:editId="28F8CCCE">
            <wp:extent cx="1280304" cy="896112"/>
            <wp:effectExtent l="0" t="0" r="0" b="0"/>
            <wp:docPr id="3" name="Image 3" descr="" tit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ue circle with black squares  Description automatically generated"/>
                    <pic:cNvPicPr/>
                  </pic:nvPicPr>
                  <pic:blipFill>
                    <a:blip r:embed="rId7" cstate="print"/>
                    <a:stretch>
                      <a:fillRect/>
                    </a:stretch>
                  </pic:blipFill>
                  <pic:spPr>
                    <a:xfrm>
                      <a:off x="0" y="0"/>
                      <a:ext cx="1280304" cy="896112"/>
                    </a:xfrm>
                    <a:prstGeom prst="rect">
                      <a:avLst/>
                    </a:prstGeom>
                  </pic:spPr>
                </pic:pic>
              </a:graphicData>
            </a:graphic>
          </wp:inline>
        </w:drawing>
      </w:r>
    </w:p>
    <w:p w:rsidRPr="00830DE1" w:rsidR="00BC4CA3" w:rsidRDefault="00000000" w14:paraId="39950367" w14:textId="77777777">
      <w:pPr>
        <w:pStyle w:val="BodyText"/>
        <w:spacing w:before="61" w:line="235" w:lineRule="auto"/>
        <w:ind w:left="136" w:right="3568"/>
        <w:rPr>
          <w:lang w:val="fr-FR"/>
        </w:rPr>
      </w:pPr>
      <w:r w:rsidRPr="00830DE1">
        <w:rPr>
          <w:lang w:val="fr-FR"/>
        </w:rPr>
        <w:t xml:space="preserve">2024 Congrès mondial de l'AIPPI - Hangzhou </w:t>
      </w:r>
      <w:r w:rsidRPr="00830DE1">
        <w:rPr>
          <w:w w:val="105"/>
          <w:lang w:val="fr-FR"/>
        </w:rPr>
        <w:t>Résolution adoptée</w:t>
      </w:r>
    </w:p>
    <w:p w:rsidRPr="00830DE1" w:rsidR="00BC4CA3" w:rsidRDefault="00000000" w14:paraId="24B053F9" w14:textId="77777777">
      <w:pPr>
        <w:pStyle w:val="BodyText"/>
        <w:spacing w:line="361" w:lineRule="exact"/>
        <w:ind w:left="136"/>
        <w:rPr>
          <w:lang w:val="fr-FR"/>
        </w:rPr>
      </w:pPr>
      <w:r w:rsidRPr="00830DE1">
        <w:rPr>
          <w:lang w:val="fr-FR"/>
        </w:rPr>
        <w:t xml:space="preserve">22 octobre </w:t>
      </w:r>
      <w:r w:rsidRPr="00830DE1">
        <w:rPr>
          <w:spacing w:val="-4"/>
          <w:lang w:val="fr-FR"/>
        </w:rPr>
        <w:t>2024</w:t>
      </w:r>
    </w:p>
    <w:p w:rsidRPr="00830DE1" w:rsidR="00BC4CA3" w:rsidRDefault="00BC4CA3" w14:paraId="1B922ADC" w14:textId="77777777">
      <w:pPr>
        <w:pStyle w:val="BodyText"/>
        <w:rPr>
          <w:lang w:val="fr-FR"/>
        </w:rPr>
      </w:pPr>
    </w:p>
    <w:p w:rsidRPr="00830DE1" w:rsidR="00BC4CA3" w:rsidRDefault="00BC4CA3" w14:paraId="518304A0" w14:textId="77777777">
      <w:pPr>
        <w:pStyle w:val="BodyText"/>
        <w:rPr>
          <w:lang w:val="fr-FR"/>
        </w:rPr>
      </w:pPr>
    </w:p>
    <w:p w:rsidRPr="00830DE1" w:rsidR="00BC4CA3" w:rsidRDefault="00BC4CA3" w14:paraId="2A554BA3" w14:textId="77777777">
      <w:pPr>
        <w:pStyle w:val="BodyText"/>
        <w:spacing w:before="324"/>
        <w:rPr>
          <w:lang w:val="fr-FR"/>
        </w:rPr>
      </w:pPr>
    </w:p>
    <w:p w:rsidRPr="00830DE1" w:rsidR="00BC4CA3" w:rsidRDefault="00000000" w14:paraId="25437A11" w14:textId="77777777">
      <w:pPr>
        <w:pStyle w:val="BodyText"/>
        <w:ind w:left="2" w:right="1"/>
        <w:jc w:val="center"/>
        <w:rPr>
          <w:rFonts w:ascii="Arial Black"/>
          <w:lang w:val="fr-FR"/>
        </w:rPr>
      </w:pPr>
      <w:r w:rsidRPr="005144CA">
        <w:rPr>
          <w:rFonts w:ascii="Arial Black" w:hAnsi="Arial Black"/>
          <w:spacing w:val="-4"/>
          <w:lang w:val="fr-FR"/>
        </w:rPr>
        <w:t>Rés</w:t>
      </w:r>
      <w:r w:rsidRPr="00830DE1">
        <w:rPr>
          <w:rFonts w:ascii="Arial Black"/>
          <w:spacing w:val="-2"/>
          <w:lang w:val="fr-FR"/>
        </w:rPr>
        <w:t>olution</w:t>
      </w:r>
    </w:p>
    <w:p w:rsidRPr="00830DE1" w:rsidR="00BC4CA3" w:rsidRDefault="00BC4CA3" w14:paraId="28AEAD74" w14:textId="77777777">
      <w:pPr>
        <w:pStyle w:val="BodyText"/>
        <w:spacing w:before="43"/>
        <w:rPr>
          <w:rFonts w:ascii="Arial Black"/>
          <w:lang w:val="fr-FR"/>
        </w:rPr>
      </w:pPr>
    </w:p>
    <w:p w:rsidRPr="00830DE1" w:rsidR="00BC4CA3" w:rsidRDefault="00000000" w14:paraId="5040F55C" w14:textId="70AC2211">
      <w:pPr>
        <w:pStyle w:val="BodyText"/>
        <w:ind w:left="1" w:right="2"/>
        <w:jc w:val="center"/>
        <w:rPr>
          <w:rFonts w:ascii="Arial Black" w:hAnsi="Arial Black"/>
          <w:lang w:val="fr-FR"/>
        </w:rPr>
      </w:pPr>
      <w:r w:rsidRPr="00830DE1">
        <w:rPr>
          <w:rFonts w:ascii="Arial Black" w:hAnsi="Arial Black"/>
          <w:spacing w:val="-4"/>
          <w:lang w:val="fr-FR"/>
        </w:rPr>
        <w:t>2024 - Question d</w:t>
      </w:r>
      <w:r w:rsidR="005144CA">
        <w:rPr>
          <w:rFonts w:ascii="Arial Black" w:hAnsi="Arial Black"/>
          <w:spacing w:val="-4"/>
          <w:lang w:val="fr-FR"/>
        </w:rPr>
        <w:t>e l</w:t>
      </w:r>
      <w:r w:rsidRPr="00830DE1">
        <w:rPr>
          <w:rFonts w:ascii="Arial Black" w:hAnsi="Arial Black"/>
          <w:spacing w:val="-4"/>
          <w:lang w:val="fr-FR"/>
        </w:rPr>
        <w:t>'étude - Général</w:t>
      </w:r>
    </w:p>
    <w:p w:rsidRPr="00830DE1" w:rsidR="00BC4CA3" w:rsidRDefault="00BC4CA3" w14:paraId="6711A96E" w14:textId="77777777">
      <w:pPr>
        <w:pStyle w:val="BodyText"/>
        <w:spacing w:before="43"/>
        <w:rPr>
          <w:rFonts w:ascii="Arial Black"/>
          <w:lang w:val="fr-FR"/>
        </w:rPr>
      </w:pPr>
    </w:p>
    <w:p w:rsidRPr="00830DE1" w:rsidR="00BC4CA3" w:rsidP="005144CA" w:rsidRDefault="00000000" w14:paraId="5EEB86EF" w14:textId="039F01A8">
      <w:pPr>
        <w:pStyle w:val="BodyText"/>
        <w:ind w:left="1" w:right="1"/>
        <w:jc w:val="center"/>
        <w:rPr>
          <w:rFonts w:ascii="Arial Black"/>
          <w:lang w:val="fr-FR"/>
        </w:rPr>
      </w:pPr>
      <w:r w:rsidRPr="00830DE1">
        <w:rPr>
          <w:rFonts w:ascii="Arial Black" w:hAnsi="Arial Black"/>
          <w:w w:val="90"/>
          <w:lang w:val="fr-FR"/>
        </w:rPr>
        <w:t xml:space="preserve">Allégations injustifiées </w:t>
      </w:r>
      <w:r w:rsidRPr="005144CA" w:rsidR="005144CA">
        <w:rPr>
          <w:rFonts w:ascii="Arial Black" w:hAnsi="Arial Black"/>
          <w:w w:val="90"/>
          <w:lang w:val="fr-FR"/>
        </w:rPr>
        <w:t>de contrefaçon</w:t>
      </w:r>
      <w:r w:rsidR="005144CA">
        <w:rPr>
          <w:rFonts w:ascii="Arial Black" w:hAnsi="Arial Black"/>
          <w:w w:val="90"/>
          <w:lang w:val="fr-FR"/>
        </w:rPr>
        <w:br/>
      </w:r>
      <w:r w:rsidRPr="005144CA" w:rsidR="005144CA">
        <w:rPr>
          <w:rFonts w:ascii="Arial Black" w:hAnsi="Arial Black"/>
          <w:w w:val="90"/>
          <w:lang w:val="fr-FR"/>
        </w:rPr>
        <w:t>de droits de propriété intellectuelle</w:t>
      </w:r>
      <w:r w:rsidR="005144CA">
        <w:rPr>
          <w:rFonts w:ascii="Arial Black" w:hAnsi="Arial Black"/>
          <w:w w:val="90"/>
          <w:lang w:val="fr-FR"/>
        </w:rPr>
        <w:t xml:space="preserve"> (PI)</w:t>
      </w:r>
    </w:p>
    <w:p w:rsidRPr="00830DE1" w:rsidR="00BC4CA3" w:rsidRDefault="00000000" w14:paraId="0CA466E7" w14:textId="77777777">
      <w:pPr>
        <w:pStyle w:val="BodyText"/>
        <w:spacing w:before="83"/>
        <w:rPr>
          <w:rFonts w:ascii="Arial Black"/>
          <w:sz w:val="18"/>
          <w:lang w:val="fr-FR"/>
        </w:rPr>
      </w:pPr>
      <w:r w:rsidRPr="00830DE1">
        <w:rPr>
          <w:noProof/>
          <w:lang w:val="fr-FR"/>
        </w:rPr>
        <mc:AlternateContent>
          <mc:Choice Requires="wps">
            <w:drawing>
              <wp:anchor distT="0" distB="0" distL="0" distR="0" simplePos="0" relativeHeight="487587840" behindDoc="1" locked="0" layoutInCell="1" allowOverlap="1" wp14:editId="0030DD5E" wp14:anchorId="6BD5B295">
                <wp:simplePos x="0" y="0"/>
                <wp:positionH relativeFrom="page">
                  <wp:posOffset>881176</wp:posOffset>
                </wp:positionH>
                <wp:positionV relativeFrom="paragraph">
                  <wp:posOffset>247029</wp:posOffset>
                </wp:positionV>
                <wp:extent cx="5798185" cy="6350"/>
                <wp:effectExtent l="0" t="0" r="0" b="0"/>
                <wp:wrapTopAndBottom/>
                <wp:docPr id="4" name="Graphic 4"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 style="position:absolute;margin-left:69.4pt;margin-top:19.45pt;width:456.55pt;height:.5pt;z-index:-15728640;visibility:visible;mso-wrap-style:square;mso-wrap-distance-left:0;mso-wrap-distance-top:0;mso-wrap-distance-right:0;mso-wrap-distance-bottom:0;mso-position-horizontal:absolute;mso-position-horizontal-relative:page;mso-position-vertical:absolute;mso-position-vertical-relative:text;v-text-anchor:top" alt="" coordsize="5798185,6350" o:spid="_x0000_s1026" fillcolor="black" stroked="f" path="m5798184,l,,,6096r5798184,l57981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" w14:anchorId="4D8FF1FE">
                <v:path arrowok="t"/>
                <w10:wrap type="topAndBottom" anchorx="page"/>
              </v:shape>
            </w:pict>
          </mc:Fallback>
        </mc:AlternateContent>
      </w:r>
    </w:p>
    <w:p w:rsidRPr="00830DE1" w:rsidR="00BC4CA3" w:rsidRDefault="00BC4CA3" w14:paraId="1A0C6ADC" w14:textId="77777777">
      <w:pPr>
        <w:pStyle w:val="BodyText"/>
        <w:rPr>
          <w:rFonts w:ascii="Arial Black"/>
          <w:lang w:val="fr-FR"/>
        </w:rPr>
      </w:pPr>
    </w:p>
    <w:p w:rsidRPr="00830DE1" w:rsidR="00BC4CA3" w:rsidRDefault="00BC4CA3" w14:paraId="696C4393" w14:textId="77777777">
      <w:pPr>
        <w:pStyle w:val="BodyText"/>
        <w:spacing w:before="57"/>
        <w:rPr>
          <w:rFonts w:ascii="Arial Black"/>
          <w:lang w:val="fr-FR"/>
        </w:rPr>
      </w:pPr>
    </w:p>
    <w:p w:rsidRPr="00830DE1" w:rsidR="00BC4CA3" w:rsidRDefault="00000000" w14:paraId="79694D71" w14:textId="77777777">
      <w:pPr>
        <w:pStyle w:val="BodyText"/>
        <w:ind w:left="136"/>
        <w:rPr>
          <w:rFonts w:ascii="Arial Black"/>
          <w:lang w:val="fr-FR"/>
        </w:rPr>
      </w:pPr>
      <w:r w:rsidRPr="00830DE1">
        <w:rPr>
          <w:rFonts w:ascii="Arial Black"/>
          <w:spacing w:val="-2"/>
          <w:lang w:val="fr-FR"/>
        </w:rPr>
        <w:t>Contexte :</w:t>
      </w:r>
    </w:p>
    <w:p w:rsidRPr="00830DE1" w:rsidR="00BC4CA3" w:rsidRDefault="00BC4CA3" w14:paraId="57CCEF98" w14:textId="77777777">
      <w:pPr>
        <w:pStyle w:val="BodyText"/>
        <w:spacing w:before="50"/>
        <w:rPr>
          <w:rFonts w:ascii="Arial Black"/>
          <w:lang w:val="fr-FR"/>
        </w:rPr>
      </w:pPr>
    </w:p>
    <w:p w:rsidRPr="005144CA" w:rsidR="00BC4CA3" w:rsidP="005144CA" w:rsidRDefault="00000000" w14:paraId="6C108AAF" w14:textId="4CA8C6F2">
      <w:pPr>
        <w:pStyle w:val="ListParagraph"/>
        <w:numPr>
          <w:ilvl w:val="0"/>
          <w:numId w:val="2"/>
        </w:numPr>
        <w:tabs>
          <w:tab w:val="left" w:pos="705"/>
          <w:tab w:val="left" w:pos="707"/>
        </w:tabs>
        <w:spacing w:line="235" w:lineRule="auto"/>
        <w:ind w:right="133"/>
        <w:jc w:val="both"/>
        <w:rPr>
          <w:sz w:val="21"/>
          <w:lang w:val="fr-FR"/>
        </w:rPr>
      </w:pPr>
      <w:r w:rsidRPr="005144CA">
        <w:rPr>
          <w:w w:val="105"/>
          <w:sz w:val="21"/>
          <w:lang w:val="fr-FR"/>
        </w:rPr>
        <w:t xml:space="preserve">Cette résolution concerne les allégations injustifiées </w:t>
      </w:r>
      <w:bookmarkStart w:name="_Hlk182388245" w:id="0"/>
      <w:r w:rsidRPr="005144CA" w:rsidR="005144CA">
        <w:rPr>
          <w:w w:val="105"/>
          <w:sz w:val="21"/>
          <w:lang w:val="fr-FR"/>
        </w:rPr>
        <w:t>de contrefaçon</w:t>
      </w:r>
      <w:r w:rsidR="005144CA">
        <w:rPr>
          <w:w w:val="105"/>
          <w:sz w:val="21"/>
          <w:lang w:val="fr-FR"/>
        </w:rPr>
        <w:t xml:space="preserve"> </w:t>
      </w:r>
      <w:r w:rsidRPr="005144CA" w:rsidR="005144CA">
        <w:rPr>
          <w:w w:val="105"/>
          <w:sz w:val="21"/>
          <w:lang w:val="fr-FR"/>
        </w:rPr>
        <w:t>de droits de</w:t>
      </w:r>
      <w:r w:rsidRPr="005144CA" w:rsidR="005144CA">
        <w:rPr>
          <w:w w:val="105"/>
          <w:sz w:val="21"/>
          <w:lang w:val="fr-FR"/>
        </w:rPr>
        <w:t xml:space="preserve"> </w:t>
      </w:r>
      <w:r w:rsidR="005144CA">
        <w:rPr>
          <w:w w:val="105"/>
          <w:sz w:val="21"/>
          <w:lang w:val="fr-FR"/>
        </w:rPr>
        <w:t>PI</w:t>
      </w:r>
      <w:bookmarkEnd w:id="0"/>
      <w:r w:rsidRPr="005144CA">
        <w:rPr>
          <w:w w:val="105"/>
          <w:sz w:val="21"/>
          <w:lang w:val="fr-FR"/>
        </w:rPr>
        <w:t xml:space="preserve">, en </w:t>
      </w:r>
      <w:r w:rsidRPr="005144CA">
        <w:rPr>
          <w:sz w:val="21"/>
          <w:lang w:val="fr-FR"/>
        </w:rPr>
        <w:t xml:space="preserve">particulier (a) le type d'activités qui constituent des allégations injustifiées </w:t>
      </w:r>
      <w:r w:rsidRPr="005144CA" w:rsidR="005144CA">
        <w:rPr>
          <w:sz w:val="21"/>
          <w:lang w:val="fr-FR"/>
        </w:rPr>
        <w:t>de contrefaçon de droits de PI</w:t>
      </w:r>
      <w:r w:rsidRPr="005144CA">
        <w:rPr>
          <w:sz w:val="21"/>
          <w:lang w:val="fr-FR"/>
        </w:rPr>
        <w:t xml:space="preserve">, et (b) les conséquences de telles </w:t>
      </w:r>
      <w:r w:rsidRPr="005144CA">
        <w:rPr>
          <w:w w:val="105"/>
          <w:sz w:val="21"/>
          <w:lang w:val="fr-FR"/>
        </w:rPr>
        <w:t xml:space="preserve">allégations </w:t>
      </w:r>
      <w:r w:rsidRPr="005144CA">
        <w:rPr>
          <w:sz w:val="21"/>
          <w:lang w:val="fr-FR"/>
        </w:rPr>
        <w:t xml:space="preserve">injustifiées </w:t>
      </w:r>
      <w:r w:rsidRPr="005144CA" w:rsidR="005144CA">
        <w:rPr>
          <w:w w:val="105"/>
          <w:sz w:val="21"/>
          <w:lang w:val="fr-FR"/>
        </w:rPr>
        <w:t>de contrefaçon de droits de PI</w:t>
      </w:r>
      <w:r w:rsidRPr="005144CA">
        <w:rPr>
          <w:w w:val="105"/>
          <w:sz w:val="21"/>
          <w:lang w:val="fr-FR"/>
        </w:rPr>
        <w:t>.</w:t>
      </w:r>
    </w:p>
    <w:p w:rsidRPr="00830DE1" w:rsidR="00BC4CA3" w:rsidRDefault="00000000" w14:paraId="51A54E10" w14:textId="45567A7B">
      <w:pPr>
        <w:pStyle w:val="ListParagraph"/>
        <w:numPr>
          <w:ilvl w:val="0"/>
          <w:numId w:val="2"/>
        </w:numPr>
        <w:tabs>
          <w:tab w:val="left" w:pos="705"/>
          <w:tab w:val="left" w:pos="707"/>
        </w:tabs>
        <w:spacing w:before="354" w:line="235" w:lineRule="auto"/>
        <w:ind w:right="134"/>
        <w:jc w:val="both"/>
        <w:rPr>
          <w:sz w:val="21"/>
          <w:lang w:val="fr-FR"/>
        </w:rPr>
      </w:pPr>
      <w:r w:rsidRPr="00830DE1">
        <w:rPr>
          <w:sz w:val="21"/>
          <w:lang w:val="fr-FR"/>
        </w:rPr>
        <w:t xml:space="preserve">Dans cette résolution, les "allégations injustifiées </w:t>
      </w:r>
      <w:r w:rsidRPr="005144CA" w:rsidR="005144CA">
        <w:rPr>
          <w:w w:val="105"/>
          <w:sz w:val="21"/>
          <w:lang w:val="fr-FR"/>
        </w:rPr>
        <w:t>de contrefaçon</w:t>
      </w:r>
      <w:r w:rsidR="005144CA">
        <w:rPr>
          <w:w w:val="105"/>
          <w:sz w:val="21"/>
          <w:lang w:val="fr-FR"/>
        </w:rPr>
        <w:t xml:space="preserve"> </w:t>
      </w:r>
      <w:r w:rsidRPr="005144CA" w:rsidR="005144CA">
        <w:rPr>
          <w:w w:val="105"/>
          <w:sz w:val="21"/>
          <w:lang w:val="fr-FR"/>
        </w:rPr>
        <w:t xml:space="preserve">de droits de </w:t>
      </w:r>
      <w:r w:rsidR="005144CA">
        <w:rPr>
          <w:w w:val="105"/>
          <w:sz w:val="21"/>
          <w:lang w:val="fr-FR"/>
        </w:rPr>
        <w:t>PI</w:t>
      </w:r>
      <w:r w:rsidRPr="00830DE1">
        <w:rPr>
          <w:sz w:val="21"/>
          <w:lang w:val="fr-FR"/>
        </w:rPr>
        <w:t xml:space="preserve">" désignent les allégations </w:t>
      </w:r>
      <w:r w:rsidRPr="005144CA" w:rsidR="005144CA">
        <w:rPr>
          <w:sz w:val="21"/>
          <w:lang w:val="fr-FR"/>
        </w:rPr>
        <w:t>de contrefaçon de droits de PI</w:t>
      </w:r>
      <w:r w:rsidRPr="005144CA" w:rsidR="005144CA">
        <w:rPr>
          <w:sz w:val="21"/>
          <w:lang w:val="fr-FR"/>
        </w:rPr>
        <w:t xml:space="preserve"> </w:t>
      </w:r>
      <w:r w:rsidRPr="00830DE1">
        <w:rPr>
          <w:sz w:val="21"/>
          <w:lang w:val="fr-FR"/>
        </w:rPr>
        <w:t>qui dépassent les limites de l'exercice légitime des droits d'un détenteur de propriété intellectuelle.</w:t>
      </w:r>
    </w:p>
    <w:p w:rsidRPr="00830DE1" w:rsidR="00BC4CA3" w:rsidRDefault="00000000" w14:paraId="4DB0AAA2" w14:textId="5E33AED3">
      <w:pPr>
        <w:pStyle w:val="ListParagraph"/>
        <w:numPr>
          <w:ilvl w:val="0"/>
          <w:numId w:val="2"/>
        </w:numPr>
        <w:tabs>
          <w:tab w:val="left" w:pos="705"/>
          <w:tab w:val="left" w:pos="707"/>
        </w:tabs>
        <w:spacing w:before="357" w:line="235" w:lineRule="auto"/>
        <w:ind w:right="131"/>
        <w:jc w:val="both"/>
        <w:rPr>
          <w:sz w:val="21"/>
          <w:lang w:val="fr-FR"/>
        </w:rPr>
      </w:pPr>
      <w:r w:rsidRPr="00830DE1">
        <w:rPr>
          <w:sz w:val="21"/>
          <w:lang w:val="fr-FR"/>
        </w:rPr>
        <w:t xml:space="preserve">Compte tenu de la nature transfrontalière des atteintes à la propriété intellectuelle et de la portée transfrontalière des allégations </w:t>
      </w:r>
      <w:r w:rsidRPr="005144CA" w:rsidR="005144CA">
        <w:rPr>
          <w:w w:val="105"/>
          <w:sz w:val="21"/>
          <w:lang w:val="fr-FR"/>
        </w:rPr>
        <w:t>de contrefaçon</w:t>
      </w:r>
      <w:r w:rsidR="005144CA">
        <w:rPr>
          <w:w w:val="105"/>
          <w:sz w:val="21"/>
          <w:lang w:val="fr-FR"/>
        </w:rPr>
        <w:t xml:space="preserve"> </w:t>
      </w:r>
      <w:r w:rsidRPr="005144CA" w:rsidR="005144CA">
        <w:rPr>
          <w:w w:val="105"/>
          <w:sz w:val="21"/>
          <w:lang w:val="fr-FR"/>
        </w:rPr>
        <w:t xml:space="preserve">de droits de </w:t>
      </w:r>
      <w:r w:rsidR="005144CA">
        <w:rPr>
          <w:w w:val="105"/>
          <w:sz w:val="21"/>
          <w:lang w:val="fr-FR"/>
        </w:rPr>
        <w:t>PI</w:t>
      </w:r>
      <w:r w:rsidRPr="00830DE1">
        <w:rPr>
          <w:sz w:val="21"/>
          <w:lang w:val="fr-FR"/>
        </w:rPr>
        <w:t xml:space="preserve">, il est souhaitable de disposer d'un cadre harmonisé sur les questions relatives aux allégations injustifiées </w:t>
      </w:r>
      <w:r w:rsidRPr="005144CA" w:rsidR="005144CA">
        <w:rPr>
          <w:w w:val="105"/>
          <w:sz w:val="21"/>
          <w:lang w:val="fr-FR"/>
        </w:rPr>
        <w:t>de contrefaçon</w:t>
      </w:r>
      <w:r w:rsidR="005144CA">
        <w:rPr>
          <w:w w:val="105"/>
          <w:sz w:val="21"/>
          <w:lang w:val="fr-FR"/>
        </w:rPr>
        <w:t xml:space="preserve"> </w:t>
      </w:r>
      <w:r w:rsidRPr="005144CA" w:rsidR="005144CA">
        <w:rPr>
          <w:w w:val="105"/>
          <w:sz w:val="21"/>
          <w:lang w:val="fr-FR"/>
        </w:rPr>
        <w:t xml:space="preserve">de droits de </w:t>
      </w:r>
      <w:r w:rsidR="005144CA">
        <w:rPr>
          <w:w w:val="105"/>
          <w:sz w:val="21"/>
          <w:lang w:val="fr-FR"/>
        </w:rPr>
        <w:t>PI</w:t>
      </w:r>
      <w:r w:rsidRPr="00830DE1">
        <w:rPr>
          <w:sz w:val="21"/>
          <w:lang w:val="fr-FR"/>
        </w:rPr>
        <w:t xml:space="preserve">. Un tel cadre profiterait à la fois aux détenteurs de droits de propriété intellectuelle et aux parties qui font l'objet d'allégations </w:t>
      </w:r>
      <w:r w:rsidRPr="005144CA" w:rsidR="005144CA">
        <w:rPr>
          <w:w w:val="105"/>
          <w:sz w:val="21"/>
          <w:lang w:val="fr-FR"/>
        </w:rPr>
        <w:t>de contrefaçon</w:t>
      </w:r>
      <w:r w:rsidR="005144CA">
        <w:rPr>
          <w:w w:val="105"/>
          <w:sz w:val="21"/>
          <w:lang w:val="fr-FR"/>
        </w:rPr>
        <w:t xml:space="preserve"> </w:t>
      </w:r>
      <w:r w:rsidRPr="005144CA" w:rsidR="005144CA">
        <w:rPr>
          <w:w w:val="105"/>
          <w:sz w:val="21"/>
          <w:lang w:val="fr-FR"/>
        </w:rPr>
        <w:t xml:space="preserve">de droits de </w:t>
      </w:r>
      <w:r w:rsidR="005144CA">
        <w:rPr>
          <w:w w:val="105"/>
          <w:sz w:val="21"/>
          <w:lang w:val="fr-FR"/>
        </w:rPr>
        <w:t>PI</w:t>
      </w:r>
      <w:r w:rsidRPr="00830DE1">
        <w:rPr>
          <w:sz w:val="21"/>
          <w:lang w:val="fr-FR"/>
        </w:rPr>
        <w:t>, en assurant la cohérence,</w:t>
      </w:r>
      <w:r w:rsidRPr="00955BDC" w:rsidR="005144CA">
        <w:rPr>
          <w:sz w:val="21"/>
          <w:lang w:val="fr-FR"/>
        </w:rPr>
        <w:t xml:space="preserve"> </w:t>
      </w:r>
      <w:r w:rsidRPr="00955BDC" w:rsidR="005144CA">
        <w:rPr>
          <w:sz w:val="21"/>
          <w:lang w:val="fr-FR"/>
        </w:rPr>
        <w:t>la certitude et la prévisibilité dans l'évaluation de la légitimité de ces allégations</w:t>
      </w:r>
      <w:r w:rsidR="00955BDC">
        <w:rPr>
          <w:sz w:val="21"/>
          <w:lang w:val="fr-FR"/>
        </w:rPr>
        <w:t>.</w:t>
      </w:r>
    </w:p>
    <w:p w:rsidRPr="00830DE1" w:rsidR="00BC4CA3" w:rsidRDefault="00BC4CA3" w14:paraId="0D8ED522" w14:textId="77777777">
      <w:pPr>
        <w:spacing w:line="235" w:lineRule="auto"/>
        <w:jc w:val="both"/>
        <w:rPr>
          <w:sz w:val="21"/>
          <w:lang w:val="fr-FR"/>
        </w:rPr>
        <w:sectPr w:rsidRPr="00830DE1" w:rsidR="00BC4CA3">
          <w:headerReference w:type="default" r:id="rId8"/>
          <w:footerReference w:type="default" r:id="rId9"/>
          <w:type w:val="continuous"/>
          <w:pgSz w:w="11910" w:h="16840"/>
          <w:pgMar w:top="1340" w:right="1280" w:bottom="1600" w:left="1280" w:header="717" w:footer="1405" w:gutter="0"/>
          <w:pgNumType w:start="1"/>
          <w:cols w:space="720"/>
        </w:sectPr>
      </w:pPr>
    </w:p>
    <w:p w:rsidRPr="00830DE1" w:rsidR="00BC4CA3" w:rsidRDefault="00000000" w14:paraId="17A758A4" w14:textId="5C5C9BA0">
      <w:pPr>
        <w:pStyle w:val="ListParagraph"/>
        <w:numPr>
          <w:ilvl w:val="0"/>
          <w:numId w:val="2"/>
        </w:numPr>
        <w:tabs>
          <w:tab w:val="left" w:pos="705"/>
          <w:tab w:val="left" w:pos="707"/>
        </w:tabs>
        <w:spacing w:before="357" w:line="235" w:lineRule="auto"/>
        <w:ind w:right="131"/>
        <w:jc w:val="both"/>
        <w:rPr>
          <w:sz w:val="21"/>
          <w:lang w:val="fr-FR"/>
        </w:rPr>
      </w:pPr>
      <w:r w:rsidRPr="00830DE1">
        <w:rPr>
          <w:sz w:val="21"/>
          <w:lang w:val="fr-FR"/>
        </w:rPr>
        <w:lastRenderedPageBreak/>
        <w:t xml:space="preserve">Cette résolution n'aborde pas l'interaction entre le droit de la concurrence ou le droit antitrust et les allégations de </w:t>
      </w:r>
      <w:r w:rsidRPr="005144CA" w:rsidR="00955BDC">
        <w:rPr>
          <w:w w:val="105"/>
          <w:sz w:val="21"/>
          <w:lang w:val="fr-FR"/>
        </w:rPr>
        <w:t>contrefaçon</w:t>
      </w:r>
      <w:r w:rsidR="00955BDC">
        <w:rPr>
          <w:w w:val="105"/>
          <w:sz w:val="21"/>
          <w:lang w:val="fr-FR"/>
        </w:rPr>
        <w:t xml:space="preserve"> </w:t>
      </w:r>
      <w:r w:rsidRPr="005144CA" w:rsidR="00955BDC">
        <w:rPr>
          <w:w w:val="105"/>
          <w:sz w:val="21"/>
          <w:lang w:val="fr-FR"/>
        </w:rPr>
        <w:t xml:space="preserve">de droits de </w:t>
      </w:r>
      <w:r w:rsidR="00955BDC">
        <w:rPr>
          <w:w w:val="105"/>
          <w:sz w:val="21"/>
          <w:lang w:val="fr-FR"/>
        </w:rPr>
        <w:t>PI</w:t>
      </w:r>
      <w:r w:rsidRPr="00830DE1">
        <w:rPr>
          <w:sz w:val="21"/>
          <w:lang w:val="fr-FR"/>
        </w:rPr>
        <w:t xml:space="preserve">, ni la question de savoir si l'exercice d'un droit de propriété intellectuelle peut être interdit parce qu'il est anticoncurrentiel. Cette résolution n'aborde pas non plus les questions relatives aux bonnes pratiques commerciales générales, au droit de la commercialisation, aux licences obligatoires et à l'utilisation abusive du système d'enregistrement de la propriété intellectuelle lui-même (comme les modèles d'utilité et les enregistrements de marques potentiellement abusifs, et les </w:t>
      </w:r>
      <w:r w:rsidRPr="00830DE1">
        <w:rPr>
          <w:spacing w:val="-2"/>
          <w:sz w:val="21"/>
          <w:lang w:val="fr-FR"/>
        </w:rPr>
        <w:t xml:space="preserve">demandes de </w:t>
      </w:r>
      <w:r w:rsidRPr="00830DE1">
        <w:rPr>
          <w:sz w:val="21"/>
          <w:lang w:val="fr-FR"/>
        </w:rPr>
        <w:t>brevets divisionnaires répétitives</w:t>
      </w:r>
      <w:r w:rsidRPr="00830DE1">
        <w:rPr>
          <w:spacing w:val="-2"/>
          <w:sz w:val="21"/>
          <w:lang w:val="fr-FR"/>
        </w:rPr>
        <w:t>).</w:t>
      </w:r>
    </w:p>
    <w:p w:rsidRPr="00830DE1" w:rsidR="00BC4CA3" w:rsidRDefault="00000000" w14:paraId="0A003C5C" w14:textId="0DFD3BAD">
      <w:pPr>
        <w:pStyle w:val="ListParagraph"/>
        <w:numPr>
          <w:ilvl w:val="0"/>
          <w:numId w:val="2"/>
        </w:numPr>
        <w:tabs>
          <w:tab w:val="left" w:pos="705"/>
          <w:tab w:val="left" w:pos="707"/>
        </w:tabs>
        <w:spacing w:before="350" w:line="235" w:lineRule="auto"/>
        <w:ind w:right="130"/>
        <w:jc w:val="both"/>
        <w:rPr>
          <w:sz w:val="21"/>
          <w:lang w:val="fr-FR"/>
        </w:rPr>
      </w:pPr>
      <w:r w:rsidRPr="00830DE1">
        <w:rPr>
          <w:sz w:val="21"/>
          <w:lang w:val="fr-FR"/>
        </w:rPr>
        <w:t xml:space="preserve">37 rapports ont été reçus des groupes nationaux et régionaux de l'AIPPI et des </w:t>
      </w:r>
      <w:r w:rsidRPr="00830DE1">
        <w:rPr>
          <w:w w:val="105"/>
          <w:sz w:val="21"/>
          <w:lang w:val="fr-FR"/>
        </w:rPr>
        <w:t xml:space="preserve">membres indépendants, fournissant des informations et des analyses détaillées sur les lois nationales et régionales relatives à cette résolution. Ces rapports ont été examinés par l'équipe du Rapporteur général de l'AIPPI et </w:t>
      </w:r>
      <w:r w:rsidRPr="00830DE1">
        <w:rPr>
          <w:spacing w:val="-2"/>
          <w:w w:val="105"/>
          <w:sz w:val="21"/>
          <w:lang w:val="fr-FR"/>
        </w:rPr>
        <w:t xml:space="preserve">synthétisés dans un rapport de synthèse (qui peut être </w:t>
      </w:r>
      <w:r w:rsidRPr="00955BDC">
        <w:rPr>
          <w:w w:val="105"/>
          <w:sz w:val="21"/>
          <w:lang w:val="fr-FR"/>
        </w:rPr>
        <w:t>consulté à l'</w:t>
      </w:r>
      <w:hyperlink w:history="1">
        <w:r w:rsidRPr="00955BDC" w:rsidR="00955BDC">
          <w:rPr>
            <w:w w:val="105"/>
            <w:sz w:val="21"/>
            <w:lang w:val="fr-FR"/>
          </w:rPr>
          <w:t>adresse suivante :</w:t>
        </w:r>
        <w:r w:rsidRPr="00D3644C" w:rsidR="00955BDC">
          <w:rPr>
            <w:rStyle w:val="Hyperlink"/>
            <w:spacing w:val="-2"/>
            <w:w w:val="105"/>
            <w:sz w:val="21"/>
            <w:lang w:val="fr-FR"/>
          </w:rPr>
          <w:t xml:space="preserve"> </w:t>
        </w:r>
      </w:hyperlink>
      <w:hyperlink w:history="1" r:id="rId10">
        <w:r w:rsidRPr="00D3644C" w:rsidR="00955BDC">
          <w:rPr>
            <w:rStyle w:val="Hyperlink"/>
            <w:spacing w:val="-2"/>
            <w:w w:val="105"/>
            <w:sz w:val="21"/>
            <w:lang w:val="fr-FR"/>
          </w:rPr>
          <w:t>www.aippi.org</w:t>
        </w:r>
      </w:hyperlink>
      <w:r w:rsidRPr="00830DE1">
        <w:rPr>
          <w:spacing w:val="-2"/>
          <w:w w:val="105"/>
          <w:sz w:val="21"/>
          <w:lang w:val="fr-FR"/>
        </w:rPr>
        <w:t>).</w:t>
      </w:r>
    </w:p>
    <w:p w:rsidRPr="00830DE1" w:rsidR="00BC4CA3" w:rsidRDefault="00000000" w14:paraId="4618526A" w14:textId="77777777">
      <w:pPr>
        <w:pStyle w:val="ListParagraph"/>
        <w:numPr>
          <w:ilvl w:val="0"/>
          <w:numId w:val="2"/>
        </w:numPr>
        <w:tabs>
          <w:tab w:val="left" w:pos="705"/>
          <w:tab w:val="left" w:pos="707"/>
        </w:tabs>
        <w:spacing w:before="353" w:line="235" w:lineRule="auto"/>
        <w:ind w:right="134"/>
        <w:jc w:val="both"/>
        <w:rPr>
          <w:sz w:val="21"/>
          <w:lang w:val="fr-FR"/>
        </w:rPr>
      </w:pPr>
      <w:r w:rsidRPr="00830DE1">
        <w:rPr>
          <w:sz w:val="21"/>
          <w:lang w:val="fr-FR"/>
        </w:rPr>
        <w:t>Lors du Congrès mondial de l'AIPPI à Hangzhou en 2024, le sujet de cette résolution a été discuté au sein d'un comité d'étude dédié et à nouveau lors d'une session plénière complète, à la suite de laquelle la présente résolution a été adoptée par le Comité exécutif de l'AIPPI.</w:t>
      </w:r>
    </w:p>
    <w:p w:rsidRPr="00830DE1" w:rsidR="00BC4CA3" w:rsidRDefault="00000000" w14:paraId="2E1E80CE" w14:textId="006E19E6">
      <w:pPr>
        <w:pStyle w:val="BodyText"/>
        <w:spacing w:before="348"/>
        <w:ind w:left="136"/>
        <w:rPr>
          <w:rFonts w:ascii="Arial Black"/>
          <w:lang w:val="fr-FR"/>
        </w:rPr>
      </w:pPr>
      <w:r w:rsidRPr="00830DE1">
        <w:rPr>
          <w:rFonts w:ascii="Arial Black"/>
          <w:spacing w:val="-2"/>
          <w:w w:val="90"/>
          <w:lang w:val="fr-FR"/>
        </w:rPr>
        <w:t xml:space="preserve">L'AIPPI </w:t>
      </w:r>
      <w:r w:rsidR="00955BDC">
        <w:rPr>
          <w:rFonts w:ascii="Arial Black"/>
          <w:spacing w:val="-2"/>
          <w:w w:val="90"/>
          <w:lang w:val="fr-FR"/>
        </w:rPr>
        <w:t>a adopt</w:t>
      </w:r>
      <w:r w:rsidR="00955BDC">
        <w:rPr>
          <w:rFonts w:ascii="Arial Black"/>
          <w:spacing w:val="-2"/>
          <w:w w:val="90"/>
          <w:lang w:val="fr-FR"/>
        </w:rPr>
        <w:t>é</w:t>
      </w:r>
      <w:r w:rsidR="00955BDC">
        <w:rPr>
          <w:rFonts w:ascii="Arial Black"/>
          <w:spacing w:val="-2"/>
          <w:w w:val="90"/>
          <w:lang w:val="fr-FR"/>
        </w:rPr>
        <w:t xml:space="preserve"> ce qui suit</w:t>
      </w:r>
      <w:r w:rsidRPr="00830DE1">
        <w:rPr>
          <w:rFonts w:ascii="Arial Black"/>
          <w:spacing w:val="-2"/>
          <w:w w:val="90"/>
          <w:lang w:val="fr-FR"/>
        </w:rPr>
        <w:t xml:space="preserve"> :</w:t>
      </w:r>
    </w:p>
    <w:p w:rsidRPr="00830DE1" w:rsidR="00BC4CA3" w:rsidRDefault="00BC4CA3" w14:paraId="63401F92" w14:textId="77777777">
      <w:pPr>
        <w:pStyle w:val="BodyText"/>
        <w:spacing w:before="49"/>
        <w:rPr>
          <w:rFonts w:ascii="Arial Black"/>
          <w:lang w:val="fr-FR"/>
        </w:rPr>
      </w:pPr>
    </w:p>
    <w:p w:rsidRPr="00830DE1" w:rsidR="00BC4CA3" w:rsidRDefault="00000000" w14:paraId="2E0821D8" w14:textId="6771D0DB">
      <w:pPr>
        <w:pStyle w:val="ListParagraph"/>
        <w:numPr>
          <w:ilvl w:val="0"/>
          <w:numId w:val="1"/>
        </w:numPr>
        <w:tabs>
          <w:tab w:val="left" w:pos="700"/>
          <w:tab w:val="left" w:pos="702"/>
        </w:tabs>
        <w:spacing w:line="235" w:lineRule="auto"/>
        <w:ind w:right="132"/>
        <w:jc w:val="both"/>
        <w:rPr>
          <w:sz w:val="21"/>
          <w:lang w:val="fr-FR"/>
        </w:rPr>
      </w:pPr>
      <w:r w:rsidRPr="00830DE1">
        <w:rPr>
          <w:sz w:val="21"/>
          <w:lang w:val="fr-FR"/>
        </w:rPr>
        <w:t xml:space="preserve">Les lois relatives aux allégations injustifiées </w:t>
      </w:r>
      <w:r w:rsidRPr="00955BDC" w:rsidR="00955BDC">
        <w:rPr>
          <w:sz w:val="21"/>
          <w:lang w:val="fr-FR"/>
        </w:rPr>
        <w:t>de contrefaçon de droits de PI</w:t>
      </w:r>
      <w:r w:rsidRPr="00955BDC" w:rsidR="00955BDC">
        <w:rPr>
          <w:sz w:val="21"/>
          <w:lang w:val="fr-FR"/>
        </w:rPr>
        <w:t xml:space="preserve"> </w:t>
      </w:r>
      <w:r w:rsidRPr="00830DE1">
        <w:rPr>
          <w:sz w:val="21"/>
          <w:lang w:val="fr-FR"/>
        </w:rPr>
        <w:t>devraient être harmonisées afin de fournir aux parties concernées un cadre clair et cohérent d'un pays à l'autre.</w:t>
      </w:r>
    </w:p>
    <w:p w:rsidRPr="00830DE1" w:rsidR="00BC4CA3" w:rsidRDefault="00000000" w14:paraId="09073456" w14:textId="7A994A7B">
      <w:pPr>
        <w:pStyle w:val="ListParagraph"/>
        <w:numPr>
          <w:ilvl w:val="0"/>
          <w:numId w:val="1"/>
        </w:numPr>
        <w:tabs>
          <w:tab w:val="left" w:pos="700"/>
          <w:tab w:val="left" w:pos="702"/>
        </w:tabs>
        <w:spacing w:before="356" w:line="235" w:lineRule="auto"/>
        <w:ind w:right="136"/>
        <w:jc w:val="both"/>
        <w:rPr>
          <w:sz w:val="21"/>
          <w:lang w:val="fr-FR"/>
        </w:rPr>
      </w:pPr>
      <w:r w:rsidRPr="00830DE1">
        <w:rPr>
          <w:w w:val="105"/>
          <w:sz w:val="21"/>
          <w:lang w:val="fr-FR"/>
        </w:rPr>
        <w:t xml:space="preserve">Pour déterminer si une allégation </w:t>
      </w:r>
      <w:r w:rsidRPr="00955BDC" w:rsidR="00955BDC">
        <w:rPr>
          <w:w w:val="105"/>
          <w:sz w:val="21"/>
          <w:lang w:val="fr-FR"/>
        </w:rPr>
        <w:t>de contrefaçon de droits de PI</w:t>
      </w:r>
      <w:r w:rsidRPr="00955BDC" w:rsidR="00955BDC">
        <w:rPr>
          <w:w w:val="105"/>
          <w:sz w:val="21"/>
          <w:lang w:val="fr-FR"/>
        </w:rPr>
        <w:t xml:space="preserve"> </w:t>
      </w:r>
      <w:r w:rsidRPr="00830DE1">
        <w:rPr>
          <w:w w:val="105"/>
          <w:sz w:val="21"/>
          <w:lang w:val="fr-FR"/>
        </w:rPr>
        <w:t>est injustifiée, il convient d'adopter une approche fondée sur les faits et d'évaluer une combinaison de critères objectifs et subjectifs. Les facteurs à prendre en compte sont, entre autres</w:t>
      </w:r>
      <w:r w:rsidRPr="00830DE1">
        <w:rPr>
          <w:spacing w:val="-14"/>
          <w:w w:val="105"/>
          <w:sz w:val="21"/>
          <w:lang w:val="fr-FR"/>
        </w:rPr>
        <w:t>,</w:t>
      </w:r>
      <w:r w:rsidRPr="00830DE1">
        <w:rPr>
          <w:w w:val="105"/>
          <w:sz w:val="21"/>
          <w:lang w:val="fr-FR"/>
        </w:rPr>
        <w:t xml:space="preserve"> les suivants</w:t>
      </w:r>
      <w:r w:rsidR="00955BDC">
        <w:rPr>
          <w:w w:val="105"/>
          <w:sz w:val="21"/>
          <w:lang w:val="fr-FR"/>
        </w:rPr>
        <w:t> :</w:t>
      </w:r>
    </w:p>
    <w:p w:rsidRPr="00830DE1" w:rsidR="00BC4CA3" w:rsidRDefault="00BC4CA3" w14:paraId="746F8B0D" w14:textId="77777777">
      <w:pPr>
        <w:pStyle w:val="BodyText"/>
        <w:spacing w:before="41"/>
        <w:rPr>
          <w:lang w:val="fr-FR"/>
        </w:rPr>
      </w:pPr>
    </w:p>
    <w:p w:rsidRPr="00830DE1" w:rsidR="00BC4CA3" w:rsidRDefault="00000000" w14:paraId="76365A52" w14:textId="77777777">
      <w:pPr>
        <w:pStyle w:val="ListParagraph"/>
        <w:numPr>
          <w:ilvl w:val="1"/>
          <w:numId w:val="1"/>
        </w:numPr>
        <w:tabs>
          <w:tab w:val="left" w:pos="1214"/>
          <w:tab w:val="left" w:pos="1216"/>
        </w:tabs>
        <w:spacing w:before="1" w:line="235" w:lineRule="auto"/>
        <w:ind w:right="133"/>
        <w:jc w:val="both"/>
        <w:rPr>
          <w:sz w:val="21"/>
          <w:lang w:val="fr-FR"/>
        </w:rPr>
      </w:pPr>
      <w:r w:rsidRPr="00830DE1">
        <w:rPr>
          <w:w w:val="105"/>
          <w:sz w:val="21"/>
          <w:lang w:val="fr-FR"/>
        </w:rPr>
        <w:t>la question de savoir si l'allégation a été faite sur une base raisonnable (c'est-à-dire qu</w:t>
      </w:r>
      <w:r w:rsidRPr="00830DE1">
        <w:rPr>
          <w:spacing w:val="-18"/>
          <w:w w:val="105"/>
          <w:sz w:val="21"/>
          <w:lang w:val="fr-FR"/>
        </w:rPr>
        <w:t>'</w:t>
      </w:r>
      <w:r w:rsidRPr="00830DE1">
        <w:rPr>
          <w:w w:val="105"/>
          <w:sz w:val="21"/>
          <w:lang w:val="fr-FR"/>
        </w:rPr>
        <w:t xml:space="preserve">une personne raisonnable dans la position de la partie qui fait l'allégation aurait eu la conviction qu'il y avait une </w:t>
      </w:r>
      <w:r w:rsidRPr="00830DE1">
        <w:rPr>
          <w:spacing w:val="-2"/>
          <w:w w:val="105"/>
          <w:sz w:val="21"/>
          <w:lang w:val="fr-FR"/>
        </w:rPr>
        <w:t>infraction) ;</w:t>
      </w:r>
    </w:p>
    <w:p w:rsidRPr="00830DE1" w:rsidR="00BC4CA3" w:rsidRDefault="00BC4CA3" w14:paraId="1E33EB82" w14:textId="77777777">
      <w:pPr>
        <w:spacing w:line="235" w:lineRule="auto"/>
        <w:jc w:val="both"/>
        <w:rPr>
          <w:sz w:val="21"/>
          <w:lang w:val="fr-FR"/>
        </w:rPr>
        <w:sectPr w:rsidRPr="00830DE1" w:rsidR="00BC4CA3">
          <w:pgSz w:w="11910" w:h="16840"/>
          <w:pgMar w:top="1340" w:right="1280" w:bottom="1600" w:left="1280" w:header="717" w:footer="1405" w:gutter="0"/>
          <w:cols w:space="720"/>
        </w:sectPr>
      </w:pPr>
    </w:p>
    <w:p w:rsidRPr="00830DE1" w:rsidR="00BC4CA3" w:rsidRDefault="00000000" w14:paraId="48DEAD79" w14:textId="77777777">
      <w:pPr>
        <w:pStyle w:val="ListParagraph"/>
        <w:numPr>
          <w:ilvl w:val="1"/>
          <w:numId w:val="1"/>
        </w:numPr>
        <w:tabs>
          <w:tab w:val="left" w:pos="1214"/>
          <w:tab w:val="left" w:pos="1216"/>
        </w:tabs>
        <w:spacing w:before="84" w:line="235" w:lineRule="auto"/>
        <w:ind w:right="133"/>
        <w:jc w:val="both"/>
        <w:rPr>
          <w:sz w:val="21"/>
          <w:lang w:val="fr-FR"/>
        </w:rPr>
      </w:pPr>
      <w:r w:rsidRPr="00830DE1">
        <w:rPr>
          <w:w w:val="105"/>
          <w:sz w:val="21"/>
          <w:lang w:val="fr-FR"/>
        </w:rPr>
        <w:lastRenderedPageBreak/>
        <w:t xml:space="preserve">la motivation de la partie qui a fait l'allégation, en particulier </w:t>
      </w:r>
      <w:r w:rsidRPr="00830DE1">
        <w:rPr>
          <w:sz w:val="21"/>
          <w:lang w:val="fr-FR"/>
        </w:rPr>
        <w:t xml:space="preserve">si l'allégation a été faite avec une intention malveillante ou de mauvaise foi ; </w:t>
      </w:r>
      <w:r w:rsidRPr="00830DE1">
        <w:rPr>
          <w:spacing w:val="-4"/>
          <w:w w:val="105"/>
          <w:sz w:val="21"/>
          <w:lang w:val="fr-FR"/>
        </w:rPr>
        <w:t>et</w:t>
      </w:r>
    </w:p>
    <w:p w:rsidRPr="00830DE1" w:rsidR="00BC4CA3" w:rsidRDefault="00000000" w14:paraId="21B1CD3B" w14:textId="77777777">
      <w:pPr>
        <w:pStyle w:val="ListParagraph"/>
        <w:numPr>
          <w:ilvl w:val="1"/>
          <w:numId w:val="1"/>
        </w:numPr>
        <w:tabs>
          <w:tab w:val="left" w:pos="1214"/>
          <w:tab w:val="left" w:pos="1216"/>
        </w:tabs>
        <w:spacing w:line="235" w:lineRule="auto"/>
        <w:ind w:right="139"/>
        <w:jc w:val="both"/>
        <w:rPr>
          <w:sz w:val="21"/>
          <w:lang w:val="fr-FR"/>
        </w:rPr>
      </w:pPr>
      <w:r w:rsidRPr="00830DE1">
        <w:rPr>
          <w:w w:val="105"/>
          <w:sz w:val="21"/>
          <w:lang w:val="fr-FR"/>
        </w:rPr>
        <w:t>la connaissance de la partie qui a fait l'allégation, en particulier si cette partie avait connaissance (i) des circonstances détruisant la validité ou (ii) des circonstances conduisant à la non-contrefaçon.</w:t>
      </w:r>
    </w:p>
    <w:p w:rsidRPr="00830DE1" w:rsidR="00BC4CA3" w:rsidRDefault="00000000" w14:paraId="3D1B14D8" w14:textId="0D289585">
      <w:pPr>
        <w:pStyle w:val="ListParagraph"/>
        <w:numPr>
          <w:ilvl w:val="0"/>
          <w:numId w:val="1"/>
        </w:numPr>
        <w:tabs>
          <w:tab w:val="left" w:pos="702"/>
        </w:tabs>
        <w:spacing w:before="352" w:line="235" w:lineRule="auto"/>
        <w:ind w:right="132"/>
        <w:jc w:val="both"/>
        <w:rPr>
          <w:sz w:val="21"/>
          <w:lang w:val="fr-FR"/>
        </w:rPr>
      </w:pPr>
      <w:r w:rsidRPr="00830DE1">
        <w:rPr>
          <w:sz w:val="21"/>
          <w:lang w:val="fr-FR"/>
        </w:rPr>
        <w:t xml:space="preserve">Le simple fait qu'une allégation </w:t>
      </w:r>
      <w:r w:rsidRPr="00955BDC" w:rsidR="00955BDC">
        <w:rPr>
          <w:sz w:val="21"/>
          <w:lang w:val="fr-FR"/>
        </w:rPr>
        <w:t>de contrefaçon de droits de PI</w:t>
      </w:r>
      <w:r w:rsidRPr="00955BDC" w:rsidR="00955BDC">
        <w:rPr>
          <w:sz w:val="21"/>
          <w:lang w:val="fr-FR"/>
        </w:rPr>
        <w:t xml:space="preserve"> </w:t>
      </w:r>
      <w:r w:rsidRPr="00830DE1">
        <w:rPr>
          <w:sz w:val="21"/>
          <w:lang w:val="fr-FR"/>
        </w:rPr>
        <w:t xml:space="preserve">s'avère par la suite incorrecte, que ce soit en raison de l'invalidité ou de l'absence </w:t>
      </w:r>
      <w:r w:rsidRPr="005144CA" w:rsidR="00955BDC">
        <w:rPr>
          <w:w w:val="105"/>
          <w:sz w:val="21"/>
          <w:lang w:val="fr-FR"/>
        </w:rPr>
        <w:t>de contrefaçon</w:t>
      </w:r>
      <w:r w:rsidRPr="00830DE1">
        <w:rPr>
          <w:sz w:val="21"/>
          <w:lang w:val="fr-FR"/>
        </w:rPr>
        <w:t xml:space="preserve">, ne permet pas en soi de conclure que cette allégation était injustifiée. Toutefois, au moins les éléments suivants devraient être considérés comme des allégations injustifiées </w:t>
      </w:r>
      <w:r w:rsidRPr="00955BDC" w:rsidR="00955BDC">
        <w:rPr>
          <w:sz w:val="21"/>
          <w:lang w:val="fr-FR"/>
        </w:rPr>
        <w:t>de contrefaçon de droits de PI</w:t>
      </w:r>
      <w:r w:rsidR="00955BDC">
        <w:rPr>
          <w:sz w:val="21"/>
          <w:lang w:val="fr-FR"/>
        </w:rPr>
        <w:t> </w:t>
      </w:r>
      <w:r w:rsidRPr="00830DE1">
        <w:rPr>
          <w:sz w:val="21"/>
          <w:lang w:val="fr-FR"/>
        </w:rPr>
        <w:t>:</w:t>
      </w:r>
    </w:p>
    <w:p w:rsidRPr="00830DE1" w:rsidR="00BC4CA3" w:rsidRDefault="00000000" w14:paraId="52FB7617" w14:textId="34754B7A">
      <w:pPr>
        <w:pStyle w:val="ListParagraph"/>
        <w:numPr>
          <w:ilvl w:val="1"/>
          <w:numId w:val="1"/>
        </w:numPr>
        <w:tabs>
          <w:tab w:val="left" w:pos="1267"/>
          <w:tab w:val="left" w:pos="1269"/>
        </w:tabs>
        <w:spacing w:before="353" w:line="235" w:lineRule="auto"/>
        <w:ind w:left="1269" w:right="139" w:hanging="425"/>
        <w:jc w:val="both"/>
        <w:rPr>
          <w:sz w:val="21"/>
          <w:lang w:val="fr-FR"/>
        </w:rPr>
      </w:pPr>
      <w:r w:rsidRPr="00830DE1">
        <w:rPr>
          <w:w w:val="105"/>
          <w:sz w:val="21"/>
          <w:lang w:val="fr-FR"/>
        </w:rPr>
        <w:t xml:space="preserve">Allégation </w:t>
      </w:r>
      <w:r w:rsidRPr="005144CA" w:rsidR="00955BDC">
        <w:rPr>
          <w:w w:val="105"/>
          <w:sz w:val="21"/>
          <w:lang w:val="fr-FR"/>
        </w:rPr>
        <w:t>de contrefaçon</w:t>
      </w:r>
      <w:r w:rsidR="00955BDC">
        <w:rPr>
          <w:w w:val="105"/>
          <w:sz w:val="21"/>
          <w:lang w:val="fr-FR"/>
        </w:rPr>
        <w:t xml:space="preserve"> </w:t>
      </w:r>
      <w:r w:rsidRPr="005144CA" w:rsidR="00955BDC">
        <w:rPr>
          <w:w w:val="105"/>
          <w:sz w:val="21"/>
          <w:lang w:val="fr-FR"/>
        </w:rPr>
        <w:t xml:space="preserve">de droits de </w:t>
      </w:r>
      <w:r w:rsidR="00955BDC">
        <w:rPr>
          <w:w w:val="105"/>
          <w:sz w:val="21"/>
          <w:lang w:val="fr-FR"/>
        </w:rPr>
        <w:t>PI</w:t>
      </w:r>
      <w:r w:rsidRPr="00830DE1" w:rsidR="00955BDC">
        <w:rPr>
          <w:w w:val="105"/>
          <w:sz w:val="21"/>
          <w:lang w:val="fr-FR"/>
        </w:rPr>
        <w:t xml:space="preserve"> </w:t>
      </w:r>
      <w:r w:rsidRPr="00830DE1">
        <w:rPr>
          <w:w w:val="105"/>
          <w:sz w:val="21"/>
          <w:lang w:val="fr-FR"/>
        </w:rPr>
        <w:t xml:space="preserve">en ayant une connaissance </w:t>
      </w:r>
      <w:r w:rsidR="00955BDC">
        <w:rPr>
          <w:w w:val="105"/>
          <w:sz w:val="21"/>
          <w:lang w:val="fr-FR"/>
        </w:rPr>
        <w:t>effective</w:t>
      </w:r>
      <w:r w:rsidRPr="00830DE1">
        <w:rPr>
          <w:w w:val="105"/>
          <w:sz w:val="21"/>
          <w:lang w:val="fr-FR"/>
        </w:rPr>
        <w:t xml:space="preserve"> des circonstances qui détruisent </w:t>
      </w:r>
      <w:r w:rsidRPr="00830DE1" w:rsidR="00955BDC">
        <w:rPr>
          <w:w w:val="105"/>
          <w:sz w:val="21"/>
          <w:lang w:val="fr-FR"/>
        </w:rPr>
        <w:t>la validité</w:t>
      </w:r>
      <w:r w:rsidR="00955BDC">
        <w:rPr>
          <w:w w:val="105"/>
          <w:sz w:val="21"/>
          <w:lang w:val="fr-FR"/>
        </w:rPr>
        <w:t> </w:t>
      </w:r>
      <w:r w:rsidRPr="00830DE1">
        <w:rPr>
          <w:w w:val="105"/>
          <w:sz w:val="21"/>
          <w:lang w:val="fr-FR"/>
        </w:rPr>
        <w:t>;</w:t>
      </w:r>
    </w:p>
    <w:p w:rsidRPr="00830DE1" w:rsidR="00BC4CA3" w:rsidRDefault="00000000" w14:paraId="13EE1F1C" w14:textId="426C592B">
      <w:pPr>
        <w:pStyle w:val="ListParagraph"/>
        <w:numPr>
          <w:ilvl w:val="1"/>
          <w:numId w:val="1"/>
        </w:numPr>
        <w:tabs>
          <w:tab w:val="left" w:pos="1267"/>
          <w:tab w:val="left" w:pos="1269"/>
        </w:tabs>
        <w:spacing w:line="235" w:lineRule="auto"/>
        <w:ind w:left="1269" w:right="139" w:hanging="425"/>
        <w:jc w:val="both"/>
        <w:rPr>
          <w:sz w:val="21"/>
          <w:lang w:val="fr-FR"/>
        </w:rPr>
      </w:pPr>
      <w:r w:rsidRPr="00830DE1">
        <w:rPr>
          <w:sz w:val="21"/>
          <w:lang w:val="fr-FR"/>
        </w:rPr>
        <w:t xml:space="preserve">Allégation </w:t>
      </w:r>
      <w:r w:rsidRPr="005144CA" w:rsidR="00955BDC">
        <w:rPr>
          <w:w w:val="105"/>
          <w:sz w:val="21"/>
          <w:lang w:val="fr-FR"/>
        </w:rPr>
        <w:t>de contrefaçon</w:t>
      </w:r>
      <w:r w:rsidR="00955BDC">
        <w:rPr>
          <w:w w:val="105"/>
          <w:sz w:val="21"/>
          <w:lang w:val="fr-FR"/>
        </w:rPr>
        <w:t xml:space="preserve"> </w:t>
      </w:r>
      <w:r w:rsidRPr="005144CA" w:rsidR="00955BDC">
        <w:rPr>
          <w:w w:val="105"/>
          <w:sz w:val="21"/>
          <w:lang w:val="fr-FR"/>
        </w:rPr>
        <w:t xml:space="preserve">de droits de </w:t>
      </w:r>
      <w:r w:rsidR="00955BDC">
        <w:rPr>
          <w:w w:val="105"/>
          <w:sz w:val="21"/>
          <w:lang w:val="fr-FR"/>
        </w:rPr>
        <w:t>PI</w:t>
      </w:r>
      <w:r w:rsidRPr="00830DE1" w:rsidR="00955BDC">
        <w:rPr>
          <w:sz w:val="21"/>
          <w:lang w:val="fr-FR"/>
        </w:rPr>
        <w:t xml:space="preserve"> </w:t>
      </w:r>
      <w:r w:rsidR="00955BDC">
        <w:rPr>
          <w:sz w:val="21"/>
          <w:lang w:val="fr-FR"/>
        </w:rPr>
        <w:t>en ayant</w:t>
      </w:r>
      <w:r w:rsidRPr="00830DE1">
        <w:rPr>
          <w:sz w:val="21"/>
          <w:lang w:val="fr-FR"/>
        </w:rPr>
        <w:t xml:space="preserve"> </w:t>
      </w:r>
      <w:r w:rsidR="00955BDC">
        <w:rPr>
          <w:sz w:val="21"/>
          <w:lang w:val="fr-FR"/>
        </w:rPr>
        <w:t xml:space="preserve">une </w:t>
      </w:r>
      <w:r w:rsidRPr="00830DE1">
        <w:rPr>
          <w:sz w:val="21"/>
          <w:lang w:val="fr-FR"/>
        </w:rPr>
        <w:t xml:space="preserve">connaissance </w:t>
      </w:r>
      <w:r w:rsidR="00955BDC">
        <w:rPr>
          <w:sz w:val="21"/>
          <w:lang w:val="fr-FR"/>
        </w:rPr>
        <w:t xml:space="preserve">effective </w:t>
      </w:r>
      <w:r w:rsidRPr="00830DE1">
        <w:rPr>
          <w:sz w:val="21"/>
          <w:lang w:val="fr-FR"/>
        </w:rPr>
        <w:t xml:space="preserve">de circonstances conduisant à l'absence </w:t>
      </w:r>
      <w:r w:rsidR="00AC0BEF">
        <w:rPr>
          <w:sz w:val="21"/>
          <w:lang w:val="fr-FR"/>
        </w:rPr>
        <w:t>de contrefaçon</w:t>
      </w:r>
      <w:r w:rsidRPr="00830DE1">
        <w:rPr>
          <w:sz w:val="21"/>
          <w:lang w:val="fr-FR"/>
        </w:rPr>
        <w:t xml:space="preserve"> ;</w:t>
      </w:r>
    </w:p>
    <w:p w:rsidRPr="00830DE1" w:rsidR="00BC4CA3" w:rsidRDefault="00000000" w14:paraId="312C24FA" w14:textId="5DC7D166">
      <w:pPr>
        <w:pStyle w:val="ListParagraph"/>
        <w:numPr>
          <w:ilvl w:val="1"/>
          <w:numId w:val="1"/>
        </w:numPr>
        <w:tabs>
          <w:tab w:val="left" w:pos="1267"/>
          <w:tab w:val="left" w:pos="1269"/>
        </w:tabs>
        <w:spacing w:line="235" w:lineRule="auto"/>
        <w:ind w:left="1269" w:right="133" w:hanging="425"/>
        <w:jc w:val="both"/>
        <w:rPr>
          <w:sz w:val="21"/>
          <w:lang w:val="fr-FR"/>
        </w:rPr>
      </w:pPr>
      <w:r w:rsidRPr="00830DE1">
        <w:rPr>
          <w:sz w:val="21"/>
          <w:lang w:val="fr-FR"/>
        </w:rPr>
        <w:t xml:space="preserve">Allégation </w:t>
      </w:r>
      <w:r w:rsidRPr="005144CA" w:rsidR="00AC0BEF">
        <w:rPr>
          <w:w w:val="105"/>
          <w:sz w:val="21"/>
          <w:lang w:val="fr-FR"/>
        </w:rPr>
        <w:t>de contrefaçon</w:t>
      </w:r>
      <w:r w:rsidR="00AC0BEF">
        <w:rPr>
          <w:w w:val="105"/>
          <w:sz w:val="21"/>
          <w:lang w:val="fr-FR"/>
        </w:rPr>
        <w:t xml:space="preserve"> </w:t>
      </w:r>
      <w:r w:rsidRPr="005144CA" w:rsidR="00AC0BEF">
        <w:rPr>
          <w:w w:val="105"/>
          <w:sz w:val="21"/>
          <w:lang w:val="fr-FR"/>
        </w:rPr>
        <w:t xml:space="preserve">de droits de </w:t>
      </w:r>
      <w:r w:rsidR="00AC0BEF">
        <w:rPr>
          <w:w w:val="105"/>
          <w:sz w:val="21"/>
          <w:lang w:val="fr-FR"/>
        </w:rPr>
        <w:t>PI</w:t>
      </w:r>
      <w:r w:rsidRPr="00830DE1" w:rsidR="00AC0BEF">
        <w:rPr>
          <w:sz w:val="21"/>
          <w:lang w:val="fr-FR"/>
        </w:rPr>
        <w:t xml:space="preserve"> </w:t>
      </w:r>
      <w:r w:rsidRPr="00830DE1">
        <w:rPr>
          <w:sz w:val="21"/>
          <w:lang w:val="fr-FR"/>
        </w:rPr>
        <w:t>alors que le droit de propriété intellectuelle n'existe pas en réalité ; et</w:t>
      </w:r>
    </w:p>
    <w:p w:rsidRPr="00830DE1" w:rsidR="00BC4CA3" w:rsidRDefault="00000000" w14:paraId="05936051" w14:textId="5D0575F3">
      <w:pPr>
        <w:pStyle w:val="ListParagraph"/>
        <w:numPr>
          <w:ilvl w:val="1"/>
          <w:numId w:val="1"/>
        </w:numPr>
        <w:tabs>
          <w:tab w:val="left" w:pos="1267"/>
          <w:tab w:val="left" w:pos="1269"/>
        </w:tabs>
        <w:spacing w:line="235" w:lineRule="auto"/>
        <w:ind w:left="1269" w:right="135" w:hanging="425"/>
        <w:jc w:val="both"/>
        <w:rPr>
          <w:sz w:val="21"/>
          <w:lang w:val="fr-FR"/>
        </w:rPr>
      </w:pPr>
      <w:r w:rsidRPr="00830DE1">
        <w:rPr>
          <w:sz w:val="21"/>
          <w:lang w:val="fr-FR"/>
        </w:rPr>
        <w:t xml:space="preserve">Allégation </w:t>
      </w:r>
      <w:r w:rsidRPr="005144CA" w:rsidR="00AC0BEF">
        <w:rPr>
          <w:w w:val="105"/>
          <w:sz w:val="21"/>
          <w:lang w:val="fr-FR"/>
        </w:rPr>
        <w:t>de contrefaçon</w:t>
      </w:r>
      <w:r w:rsidR="00AC0BEF">
        <w:rPr>
          <w:w w:val="105"/>
          <w:sz w:val="21"/>
          <w:lang w:val="fr-FR"/>
        </w:rPr>
        <w:t xml:space="preserve"> </w:t>
      </w:r>
      <w:r w:rsidRPr="005144CA" w:rsidR="00AC0BEF">
        <w:rPr>
          <w:w w:val="105"/>
          <w:sz w:val="21"/>
          <w:lang w:val="fr-FR"/>
        </w:rPr>
        <w:t xml:space="preserve">de droits de </w:t>
      </w:r>
      <w:r w:rsidR="00AC0BEF">
        <w:rPr>
          <w:w w:val="105"/>
          <w:sz w:val="21"/>
          <w:lang w:val="fr-FR"/>
        </w:rPr>
        <w:t>PI</w:t>
      </w:r>
      <w:r w:rsidRPr="00830DE1" w:rsidR="00AC0BEF">
        <w:rPr>
          <w:sz w:val="21"/>
          <w:lang w:val="fr-FR"/>
        </w:rPr>
        <w:t xml:space="preserve"> </w:t>
      </w:r>
      <w:r w:rsidR="00AC0BEF">
        <w:rPr>
          <w:sz w:val="21"/>
          <w:lang w:val="fr-FR"/>
        </w:rPr>
        <w:t>dans le but</w:t>
      </w:r>
      <w:r w:rsidRPr="00830DE1">
        <w:rPr>
          <w:sz w:val="21"/>
          <w:lang w:val="fr-FR"/>
        </w:rPr>
        <w:t xml:space="preserve"> d'obtenir </w:t>
      </w:r>
      <w:r w:rsidR="00AC0BEF">
        <w:rPr>
          <w:sz w:val="21"/>
          <w:lang w:val="fr-FR"/>
        </w:rPr>
        <w:t>l’interdiction</w:t>
      </w:r>
      <w:r w:rsidRPr="00830DE1">
        <w:rPr>
          <w:sz w:val="21"/>
          <w:lang w:val="fr-FR"/>
        </w:rPr>
        <w:t xml:space="preserve"> </w:t>
      </w:r>
      <w:r w:rsidR="00AC0BEF">
        <w:rPr>
          <w:sz w:val="21"/>
          <w:lang w:val="fr-FR"/>
        </w:rPr>
        <w:t>d’</w:t>
      </w:r>
      <w:r w:rsidRPr="00830DE1">
        <w:rPr>
          <w:sz w:val="21"/>
          <w:lang w:val="fr-FR"/>
        </w:rPr>
        <w:t xml:space="preserve">une nouvelle </w:t>
      </w:r>
      <w:r w:rsidR="00AC0BEF">
        <w:rPr>
          <w:sz w:val="21"/>
          <w:lang w:val="fr-FR"/>
        </w:rPr>
        <w:t>contrefaçon alléguée</w:t>
      </w:r>
      <w:r w:rsidRPr="00830DE1">
        <w:rPr>
          <w:sz w:val="21"/>
          <w:lang w:val="fr-FR"/>
        </w:rPr>
        <w:t xml:space="preserve"> </w:t>
      </w:r>
      <w:r w:rsidR="00AC0BEF">
        <w:rPr>
          <w:sz w:val="21"/>
          <w:lang w:val="fr-FR"/>
        </w:rPr>
        <w:t>alors que</w:t>
      </w:r>
      <w:r w:rsidRPr="00830DE1">
        <w:rPr>
          <w:sz w:val="21"/>
          <w:lang w:val="fr-FR"/>
        </w:rPr>
        <w:t xml:space="preserve"> le droit de propriété intellectuelle invoqué a expiré.</w:t>
      </w:r>
    </w:p>
    <w:p w:rsidRPr="00830DE1" w:rsidR="00BC4CA3" w:rsidRDefault="00000000" w14:paraId="01E2C092" w14:textId="0CB51302">
      <w:pPr>
        <w:pStyle w:val="ListParagraph"/>
        <w:numPr>
          <w:ilvl w:val="0"/>
          <w:numId w:val="1"/>
        </w:numPr>
        <w:tabs>
          <w:tab w:val="left" w:pos="700"/>
          <w:tab w:val="left" w:pos="702"/>
        </w:tabs>
        <w:spacing w:before="348" w:line="235" w:lineRule="auto"/>
        <w:ind w:right="133"/>
        <w:jc w:val="both"/>
        <w:rPr>
          <w:sz w:val="21"/>
          <w:lang w:val="fr-FR"/>
        </w:rPr>
      </w:pPr>
      <w:r w:rsidRPr="00830DE1">
        <w:rPr>
          <w:sz w:val="21"/>
          <w:lang w:val="fr-FR"/>
        </w:rPr>
        <w:t xml:space="preserve">Le simple fait qu'une allégation </w:t>
      </w:r>
      <w:r w:rsidRPr="00AC0BEF" w:rsidR="00AC0BEF">
        <w:rPr>
          <w:sz w:val="21"/>
          <w:lang w:val="fr-FR"/>
        </w:rPr>
        <w:t>de contrefaçon de droits de PI</w:t>
      </w:r>
      <w:r w:rsidRPr="00AC0BEF" w:rsidR="00AC0BEF">
        <w:rPr>
          <w:sz w:val="21"/>
          <w:lang w:val="fr-FR"/>
        </w:rPr>
        <w:t xml:space="preserve"> </w:t>
      </w:r>
      <w:r w:rsidRPr="00830DE1">
        <w:rPr>
          <w:sz w:val="21"/>
          <w:lang w:val="fr-FR"/>
        </w:rPr>
        <w:t xml:space="preserve">s'avère ultérieurement fondée (par exemple, par une décision sur le fond) ne </w:t>
      </w:r>
      <w:r w:rsidRPr="00830DE1">
        <w:rPr>
          <w:spacing w:val="-4"/>
          <w:sz w:val="21"/>
          <w:lang w:val="fr-FR"/>
        </w:rPr>
        <w:t>permet</w:t>
      </w:r>
      <w:r w:rsidRPr="00830DE1">
        <w:rPr>
          <w:sz w:val="21"/>
          <w:lang w:val="fr-FR"/>
        </w:rPr>
        <w:t xml:space="preserve"> pas en soi de conclure que l'allégation </w:t>
      </w:r>
      <w:r w:rsidRPr="005144CA" w:rsidR="00AC0BEF">
        <w:rPr>
          <w:w w:val="105"/>
          <w:sz w:val="21"/>
          <w:lang w:val="fr-FR"/>
        </w:rPr>
        <w:t>de contrefaçon</w:t>
      </w:r>
      <w:r w:rsidR="00AC0BEF">
        <w:rPr>
          <w:w w:val="105"/>
          <w:sz w:val="21"/>
          <w:lang w:val="fr-FR"/>
        </w:rPr>
        <w:t xml:space="preserve"> </w:t>
      </w:r>
      <w:r w:rsidRPr="005144CA" w:rsidR="00AC0BEF">
        <w:rPr>
          <w:w w:val="105"/>
          <w:sz w:val="21"/>
          <w:lang w:val="fr-FR"/>
        </w:rPr>
        <w:t xml:space="preserve">de droits de </w:t>
      </w:r>
      <w:r w:rsidR="00AC0BEF">
        <w:rPr>
          <w:w w:val="105"/>
          <w:sz w:val="21"/>
          <w:lang w:val="fr-FR"/>
        </w:rPr>
        <w:t>PI</w:t>
      </w:r>
      <w:r w:rsidRPr="00830DE1" w:rsidR="00AC0BEF">
        <w:rPr>
          <w:sz w:val="21"/>
          <w:lang w:val="fr-FR"/>
        </w:rPr>
        <w:t xml:space="preserve"> </w:t>
      </w:r>
      <w:r w:rsidRPr="00830DE1">
        <w:rPr>
          <w:sz w:val="21"/>
          <w:lang w:val="fr-FR"/>
        </w:rPr>
        <w:t>était justifiée.</w:t>
      </w:r>
    </w:p>
    <w:p w:rsidRPr="00830DE1" w:rsidR="00BC4CA3" w:rsidRDefault="00000000" w14:paraId="73025CE7" w14:textId="5D69BDE3">
      <w:pPr>
        <w:pStyle w:val="ListParagraph"/>
        <w:numPr>
          <w:ilvl w:val="0"/>
          <w:numId w:val="1"/>
        </w:numPr>
        <w:tabs>
          <w:tab w:val="left" w:pos="700"/>
          <w:tab w:val="left" w:pos="702"/>
        </w:tabs>
        <w:spacing w:before="356" w:line="235" w:lineRule="auto"/>
        <w:ind w:right="132"/>
        <w:jc w:val="both"/>
        <w:rPr>
          <w:sz w:val="21"/>
          <w:lang w:val="fr-FR"/>
        </w:rPr>
      </w:pPr>
      <w:r w:rsidRPr="00830DE1">
        <w:rPr>
          <w:sz w:val="21"/>
          <w:lang w:val="fr-FR"/>
        </w:rPr>
        <w:t xml:space="preserve">Les éléments suivants ne doivent pas permettre de conclure de manière catégorique qu'une allégation </w:t>
      </w:r>
      <w:r w:rsidRPr="005144CA" w:rsidR="00AC0BEF">
        <w:rPr>
          <w:w w:val="105"/>
          <w:sz w:val="21"/>
          <w:lang w:val="fr-FR"/>
        </w:rPr>
        <w:t>de contrefaçon</w:t>
      </w:r>
      <w:r w:rsidR="00AC0BEF">
        <w:rPr>
          <w:w w:val="105"/>
          <w:sz w:val="21"/>
          <w:lang w:val="fr-FR"/>
        </w:rPr>
        <w:t xml:space="preserve"> </w:t>
      </w:r>
      <w:r w:rsidRPr="005144CA" w:rsidR="00AC0BEF">
        <w:rPr>
          <w:w w:val="105"/>
          <w:sz w:val="21"/>
          <w:lang w:val="fr-FR"/>
        </w:rPr>
        <w:t xml:space="preserve">de droits de </w:t>
      </w:r>
      <w:r w:rsidR="00AC0BEF">
        <w:rPr>
          <w:w w:val="105"/>
          <w:sz w:val="21"/>
          <w:lang w:val="fr-FR"/>
        </w:rPr>
        <w:t>PI</w:t>
      </w:r>
      <w:r w:rsidRPr="00830DE1" w:rsidR="00AC0BEF">
        <w:rPr>
          <w:sz w:val="21"/>
          <w:lang w:val="fr-FR"/>
        </w:rPr>
        <w:t xml:space="preserve"> </w:t>
      </w:r>
      <w:r w:rsidRPr="00830DE1">
        <w:rPr>
          <w:sz w:val="21"/>
          <w:lang w:val="fr-FR"/>
        </w:rPr>
        <w:t>est injustifiée :</w:t>
      </w:r>
    </w:p>
    <w:p w:rsidRPr="00830DE1" w:rsidR="00BC4CA3" w:rsidRDefault="00000000" w14:paraId="3CB30F25" w14:textId="1E310842">
      <w:pPr>
        <w:pStyle w:val="ListParagraph"/>
        <w:numPr>
          <w:ilvl w:val="1"/>
          <w:numId w:val="1"/>
        </w:numPr>
        <w:tabs>
          <w:tab w:val="left" w:pos="1214"/>
          <w:tab w:val="left" w:pos="1216"/>
        </w:tabs>
        <w:spacing w:line="235" w:lineRule="auto"/>
        <w:ind w:right="137"/>
        <w:jc w:val="both"/>
        <w:rPr>
          <w:sz w:val="21"/>
          <w:lang w:val="fr-FR"/>
        </w:rPr>
      </w:pPr>
      <w:r w:rsidRPr="00830DE1">
        <w:rPr>
          <w:sz w:val="21"/>
          <w:lang w:val="fr-FR"/>
        </w:rPr>
        <w:t xml:space="preserve">Allégation </w:t>
      </w:r>
      <w:r w:rsidRPr="005144CA" w:rsidR="00AC0BEF">
        <w:rPr>
          <w:w w:val="105"/>
          <w:sz w:val="21"/>
          <w:lang w:val="fr-FR"/>
        </w:rPr>
        <w:t>de contrefaçon</w:t>
      </w:r>
      <w:r w:rsidR="00AC0BEF">
        <w:rPr>
          <w:w w:val="105"/>
          <w:sz w:val="21"/>
          <w:lang w:val="fr-FR"/>
        </w:rPr>
        <w:t xml:space="preserve"> </w:t>
      </w:r>
      <w:r w:rsidRPr="005144CA" w:rsidR="00AC0BEF">
        <w:rPr>
          <w:w w:val="105"/>
          <w:sz w:val="21"/>
          <w:lang w:val="fr-FR"/>
        </w:rPr>
        <w:t xml:space="preserve">de droits de </w:t>
      </w:r>
      <w:r w:rsidR="00AC0BEF">
        <w:rPr>
          <w:w w:val="105"/>
          <w:sz w:val="21"/>
          <w:lang w:val="fr-FR"/>
        </w:rPr>
        <w:t>PI</w:t>
      </w:r>
      <w:r w:rsidRPr="00830DE1" w:rsidR="00AC0BEF">
        <w:rPr>
          <w:sz w:val="21"/>
          <w:lang w:val="fr-FR"/>
        </w:rPr>
        <w:t xml:space="preserve"> </w:t>
      </w:r>
      <w:r w:rsidRPr="00830DE1">
        <w:rPr>
          <w:sz w:val="21"/>
          <w:lang w:val="fr-FR"/>
        </w:rPr>
        <w:t>alors que la partie qui fait cette allégation savait ou aurait dû savoir que l'action en contrefaçon avait peu de chances d'aboutir ;</w:t>
      </w:r>
    </w:p>
    <w:p w:rsidRPr="00830DE1" w:rsidR="00BC4CA3" w:rsidRDefault="00000000" w14:paraId="3C58C759" w14:textId="097635B3">
      <w:pPr>
        <w:pStyle w:val="ListParagraph"/>
        <w:numPr>
          <w:ilvl w:val="1"/>
          <w:numId w:val="1"/>
        </w:numPr>
        <w:tabs>
          <w:tab w:val="left" w:pos="1214"/>
          <w:tab w:val="left" w:pos="1216"/>
        </w:tabs>
        <w:spacing w:line="235" w:lineRule="auto"/>
        <w:ind w:right="134"/>
        <w:jc w:val="both"/>
        <w:rPr>
          <w:sz w:val="21"/>
          <w:lang w:val="fr-FR"/>
        </w:rPr>
      </w:pPr>
      <w:r w:rsidRPr="00830DE1">
        <w:rPr>
          <w:sz w:val="21"/>
          <w:lang w:val="fr-FR"/>
        </w:rPr>
        <w:t xml:space="preserve">Allégation </w:t>
      </w:r>
      <w:r w:rsidRPr="005144CA" w:rsidR="00AC0BEF">
        <w:rPr>
          <w:w w:val="105"/>
          <w:sz w:val="21"/>
          <w:lang w:val="fr-FR"/>
        </w:rPr>
        <w:t>de contrefaçon</w:t>
      </w:r>
      <w:r w:rsidR="00AC0BEF">
        <w:rPr>
          <w:w w:val="105"/>
          <w:sz w:val="21"/>
          <w:lang w:val="fr-FR"/>
        </w:rPr>
        <w:t xml:space="preserve"> </w:t>
      </w:r>
      <w:r w:rsidRPr="005144CA" w:rsidR="00AC0BEF">
        <w:rPr>
          <w:w w:val="105"/>
          <w:sz w:val="21"/>
          <w:lang w:val="fr-FR"/>
        </w:rPr>
        <w:t xml:space="preserve">de droits de </w:t>
      </w:r>
      <w:r w:rsidR="00AC0BEF">
        <w:rPr>
          <w:w w:val="105"/>
          <w:sz w:val="21"/>
          <w:lang w:val="fr-FR"/>
        </w:rPr>
        <w:t>PI</w:t>
      </w:r>
      <w:r w:rsidRPr="00830DE1" w:rsidR="00AC0BEF">
        <w:rPr>
          <w:sz w:val="21"/>
          <w:lang w:val="fr-FR"/>
        </w:rPr>
        <w:t xml:space="preserve"> </w:t>
      </w:r>
      <w:r w:rsidRPr="00830DE1">
        <w:rPr>
          <w:sz w:val="21"/>
          <w:lang w:val="fr-FR"/>
        </w:rPr>
        <w:t xml:space="preserve">avant que le droit de propriété intellectuelle n'ait été </w:t>
      </w:r>
      <w:r w:rsidR="00AC0BEF">
        <w:rPr>
          <w:w w:val="105"/>
          <w:sz w:val="21"/>
          <w:lang w:val="fr-FR"/>
        </w:rPr>
        <w:t>délivré</w:t>
      </w:r>
      <w:r w:rsidRPr="00830DE1">
        <w:rPr>
          <w:w w:val="105"/>
          <w:sz w:val="21"/>
          <w:lang w:val="fr-FR"/>
        </w:rPr>
        <w:t xml:space="preserve">, à condition que ces communications ne revendiquent pas le droit de propriété intellectuelle </w:t>
      </w:r>
      <w:r w:rsidR="00AC0BEF">
        <w:rPr>
          <w:w w:val="105"/>
          <w:sz w:val="21"/>
          <w:lang w:val="fr-FR"/>
        </w:rPr>
        <w:t>comme ayant été délivré</w:t>
      </w:r>
      <w:r w:rsidRPr="00830DE1">
        <w:rPr>
          <w:w w:val="105"/>
          <w:sz w:val="21"/>
          <w:lang w:val="fr-FR"/>
        </w:rPr>
        <w:t xml:space="preserve"> ; et</w:t>
      </w:r>
    </w:p>
    <w:p w:rsidRPr="00830DE1" w:rsidR="00BC4CA3" w:rsidRDefault="00000000" w14:paraId="34E4710F" w14:textId="4FA02858">
      <w:pPr>
        <w:pStyle w:val="ListParagraph"/>
        <w:numPr>
          <w:ilvl w:val="1"/>
          <w:numId w:val="1"/>
        </w:numPr>
        <w:tabs>
          <w:tab w:val="left" w:pos="1214"/>
          <w:tab w:val="left" w:pos="1216"/>
        </w:tabs>
        <w:spacing w:line="235" w:lineRule="auto"/>
        <w:ind w:right="137"/>
        <w:jc w:val="both"/>
        <w:rPr>
          <w:sz w:val="21"/>
          <w:lang w:val="fr-FR"/>
        </w:rPr>
      </w:pPr>
      <w:r w:rsidRPr="00830DE1">
        <w:rPr>
          <w:sz w:val="21"/>
          <w:lang w:val="fr-FR"/>
        </w:rPr>
        <w:t xml:space="preserve">Allégation </w:t>
      </w:r>
      <w:r w:rsidRPr="005144CA" w:rsidR="00AC0BEF">
        <w:rPr>
          <w:w w:val="105"/>
          <w:sz w:val="21"/>
          <w:lang w:val="fr-FR"/>
        </w:rPr>
        <w:t>de contrefaçon</w:t>
      </w:r>
      <w:r w:rsidR="00AC0BEF">
        <w:rPr>
          <w:w w:val="105"/>
          <w:sz w:val="21"/>
          <w:lang w:val="fr-FR"/>
        </w:rPr>
        <w:t xml:space="preserve"> </w:t>
      </w:r>
      <w:r w:rsidRPr="005144CA" w:rsidR="00AC0BEF">
        <w:rPr>
          <w:w w:val="105"/>
          <w:sz w:val="21"/>
          <w:lang w:val="fr-FR"/>
        </w:rPr>
        <w:t xml:space="preserve">de droits de </w:t>
      </w:r>
      <w:r w:rsidR="00AC0BEF">
        <w:rPr>
          <w:w w:val="105"/>
          <w:sz w:val="21"/>
          <w:lang w:val="fr-FR"/>
        </w:rPr>
        <w:t>PI</w:t>
      </w:r>
      <w:r w:rsidRPr="00830DE1" w:rsidR="00AC0BEF">
        <w:rPr>
          <w:sz w:val="21"/>
          <w:lang w:val="fr-FR"/>
        </w:rPr>
        <w:t xml:space="preserve"> </w:t>
      </w:r>
      <w:r w:rsidRPr="00830DE1">
        <w:rPr>
          <w:sz w:val="21"/>
          <w:lang w:val="fr-FR"/>
        </w:rPr>
        <w:t>lorsque des négociations ou d'autres procédures de règlement des litiges sont en cours.</w:t>
      </w:r>
    </w:p>
    <w:p w:rsidRPr="00830DE1" w:rsidR="00BC4CA3" w:rsidRDefault="00BC4CA3" w14:paraId="3AD20A1E" w14:textId="77777777">
      <w:pPr>
        <w:spacing w:line="235" w:lineRule="auto"/>
        <w:jc w:val="both"/>
        <w:rPr>
          <w:sz w:val="21"/>
          <w:lang w:val="fr-FR"/>
        </w:rPr>
        <w:sectPr w:rsidRPr="00830DE1" w:rsidR="00BC4CA3">
          <w:pgSz w:w="11910" w:h="16840"/>
          <w:pgMar w:top="1340" w:right="1280" w:bottom="1620" w:left="1280" w:header="717" w:footer="1405" w:gutter="0"/>
          <w:cols w:space="720"/>
        </w:sectPr>
      </w:pPr>
    </w:p>
    <w:p w:rsidRPr="00830DE1" w:rsidR="00BC4CA3" w:rsidRDefault="00000000" w14:paraId="26DAE72F" w14:textId="4A2087CE">
      <w:pPr>
        <w:pStyle w:val="ListParagraph"/>
        <w:numPr>
          <w:ilvl w:val="0"/>
          <w:numId w:val="1"/>
        </w:numPr>
        <w:tabs>
          <w:tab w:val="left" w:pos="702"/>
        </w:tabs>
        <w:spacing w:before="84" w:line="235" w:lineRule="auto"/>
        <w:ind w:right="132"/>
        <w:jc w:val="both"/>
        <w:rPr>
          <w:sz w:val="21"/>
          <w:lang w:val="fr-FR"/>
        </w:rPr>
      </w:pPr>
      <w:r w:rsidRPr="00830DE1">
        <w:rPr>
          <w:w w:val="105"/>
          <w:sz w:val="21"/>
          <w:lang w:val="fr-FR"/>
        </w:rPr>
        <w:lastRenderedPageBreak/>
        <w:t xml:space="preserve">Toute communication qui peut raisonnablement être comprise par la personne contre laquelle l'allégation </w:t>
      </w:r>
      <w:r w:rsidRPr="005144CA" w:rsidR="00AC0BEF">
        <w:rPr>
          <w:w w:val="105"/>
          <w:sz w:val="21"/>
          <w:lang w:val="fr-FR"/>
        </w:rPr>
        <w:t>de contrefaçon</w:t>
      </w:r>
      <w:r w:rsidR="00AC0BEF">
        <w:rPr>
          <w:w w:val="105"/>
          <w:sz w:val="21"/>
          <w:lang w:val="fr-FR"/>
        </w:rPr>
        <w:t xml:space="preserve"> </w:t>
      </w:r>
      <w:r w:rsidRPr="005144CA" w:rsidR="00AC0BEF">
        <w:rPr>
          <w:w w:val="105"/>
          <w:sz w:val="21"/>
          <w:lang w:val="fr-FR"/>
        </w:rPr>
        <w:t xml:space="preserve">de droits de </w:t>
      </w:r>
      <w:r w:rsidR="00AC0BEF">
        <w:rPr>
          <w:w w:val="105"/>
          <w:sz w:val="21"/>
          <w:lang w:val="fr-FR"/>
        </w:rPr>
        <w:t>PI</w:t>
      </w:r>
      <w:r w:rsidRPr="00830DE1" w:rsidR="00AC0BEF">
        <w:rPr>
          <w:w w:val="105"/>
          <w:sz w:val="21"/>
          <w:lang w:val="fr-FR"/>
        </w:rPr>
        <w:t xml:space="preserve"> </w:t>
      </w:r>
      <w:r w:rsidRPr="00830DE1">
        <w:rPr>
          <w:w w:val="105"/>
          <w:sz w:val="21"/>
          <w:lang w:val="fr-FR"/>
        </w:rPr>
        <w:t xml:space="preserve">est formulée comme une menace </w:t>
      </w:r>
      <w:r w:rsidR="00AC0BEF">
        <w:rPr>
          <w:w w:val="105"/>
          <w:sz w:val="21"/>
          <w:lang w:val="fr-FR"/>
        </w:rPr>
        <w:t>d’action</w:t>
      </w:r>
      <w:r w:rsidRPr="00830DE1">
        <w:rPr>
          <w:sz w:val="21"/>
          <w:lang w:val="fr-FR"/>
        </w:rPr>
        <w:t xml:space="preserve"> en contrefaçon, qu'il s'agisse d'une menace expresse ou implicite, peut </w:t>
      </w:r>
      <w:r w:rsidRPr="00830DE1">
        <w:rPr>
          <w:w w:val="105"/>
          <w:sz w:val="21"/>
          <w:lang w:val="fr-FR"/>
        </w:rPr>
        <w:t xml:space="preserve">constituer une allégation injustifiée </w:t>
      </w:r>
      <w:r w:rsidRPr="005144CA" w:rsidR="00AC0BEF">
        <w:rPr>
          <w:w w:val="105"/>
          <w:sz w:val="21"/>
          <w:lang w:val="fr-FR"/>
        </w:rPr>
        <w:t>de contrefaçon</w:t>
      </w:r>
      <w:r w:rsidR="00AC0BEF">
        <w:rPr>
          <w:w w:val="105"/>
          <w:sz w:val="21"/>
          <w:lang w:val="fr-FR"/>
        </w:rPr>
        <w:t xml:space="preserve"> </w:t>
      </w:r>
      <w:r w:rsidRPr="005144CA" w:rsidR="00AC0BEF">
        <w:rPr>
          <w:w w:val="105"/>
          <w:sz w:val="21"/>
          <w:lang w:val="fr-FR"/>
        </w:rPr>
        <w:t xml:space="preserve">de droits de </w:t>
      </w:r>
      <w:r w:rsidR="00AC0BEF">
        <w:rPr>
          <w:w w:val="105"/>
          <w:sz w:val="21"/>
          <w:lang w:val="fr-FR"/>
        </w:rPr>
        <w:t>PI</w:t>
      </w:r>
      <w:r w:rsidRPr="00830DE1">
        <w:rPr>
          <w:w w:val="105"/>
          <w:sz w:val="21"/>
          <w:lang w:val="fr-FR"/>
        </w:rPr>
        <w:t xml:space="preserve">, sous réserve des paragraphes 3), 4) et 5). Toutefois, une simple notification de l'existence d'un droit de PI ne doit pas être considérée comme une menace </w:t>
      </w:r>
      <w:r w:rsidR="00AC0BEF">
        <w:rPr>
          <w:w w:val="105"/>
          <w:sz w:val="21"/>
          <w:lang w:val="fr-FR"/>
        </w:rPr>
        <w:t>d’action</w:t>
      </w:r>
      <w:r w:rsidRPr="00830DE1">
        <w:rPr>
          <w:w w:val="105"/>
          <w:sz w:val="21"/>
          <w:lang w:val="fr-FR"/>
        </w:rPr>
        <w:t xml:space="preserve"> en contrefaçon.</w:t>
      </w:r>
    </w:p>
    <w:p w:rsidRPr="00830DE1" w:rsidR="00BC4CA3" w:rsidRDefault="00000000" w14:paraId="36E3B816" w14:textId="6F7A54C7">
      <w:pPr>
        <w:pStyle w:val="ListParagraph"/>
        <w:numPr>
          <w:ilvl w:val="0"/>
          <w:numId w:val="1"/>
        </w:numPr>
        <w:tabs>
          <w:tab w:val="left" w:pos="699"/>
          <w:tab w:val="left" w:pos="702"/>
        </w:tabs>
        <w:spacing w:before="350" w:line="235" w:lineRule="auto"/>
        <w:ind w:right="133"/>
        <w:jc w:val="both"/>
        <w:rPr>
          <w:sz w:val="21"/>
          <w:lang w:val="fr-FR"/>
        </w:rPr>
      </w:pPr>
      <w:r w:rsidRPr="00830DE1">
        <w:rPr>
          <w:sz w:val="21"/>
          <w:lang w:val="fr-FR"/>
        </w:rPr>
        <w:t xml:space="preserve">Les législations nationales ou régionales devraient s'efforcer de clarifier ce qui constitue ou non une menace </w:t>
      </w:r>
      <w:r w:rsidR="00AC0BEF">
        <w:rPr>
          <w:sz w:val="21"/>
          <w:lang w:val="fr-FR"/>
        </w:rPr>
        <w:t>d’action en contrefaçon</w:t>
      </w:r>
      <w:r w:rsidRPr="00830DE1">
        <w:rPr>
          <w:sz w:val="21"/>
          <w:lang w:val="fr-FR"/>
        </w:rPr>
        <w:t xml:space="preserve">, afin de permettre aux parties de communiquer sans craindre d'encourir une responsabilité potentielle pour des allégations injustifiées </w:t>
      </w:r>
      <w:r w:rsidRPr="005144CA" w:rsidR="00AC0BEF">
        <w:rPr>
          <w:w w:val="105"/>
          <w:sz w:val="21"/>
          <w:lang w:val="fr-FR"/>
        </w:rPr>
        <w:t>de contrefaçon</w:t>
      </w:r>
      <w:r w:rsidR="00AC0BEF">
        <w:rPr>
          <w:w w:val="105"/>
          <w:sz w:val="21"/>
          <w:lang w:val="fr-FR"/>
        </w:rPr>
        <w:t xml:space="preserve"> </w:t>
      </w:r>
      <w:r w:rsidRPr="005144CA" w:rsidR="00AC0BEF">
        <w:rPr>
          <w:w w:val="105"/>
          <w:sz w:val="21"/>
          <w:lang w:val="fr-FR"/>
        </w:rPr>
        <w:t xml:space="preserve">de droits de </w:t>
      </w:r>
      <w:r w:rsidR="00AC0BEF">
        <w:rPr>
          <w:w w:val="105"/>
          <w:sz w:val="21"/>
          <w:lang w:val="fr-FR"/>
        </w:rPr>
        <w:t>PI</w:t>
      </w:r>
      <w:r w:rsidRPr="00830DE1">
        <w:rPr>
          <w:sz w:val="21"/>
          <w:lang w:val="fr-FR"/>
        </w:rPr>
        <w:t>.</w:t>
      </w:r>
    </w:p>
    <w:p w:rsidRPr="00830DE1" w:rsidR="00BC4CA3" w:rsidRDefault="00BC4CA3" w14:paraId="5919FECE" w14:textId="77777777">
      <w:pPr>
        <w:pStyle w:val="BodyText"/>
        <w:spacing w:before="41"/>
        <w:rPr>
          <w:lang w:val="fr-FR"/>
        </w:rPr>
      </w:pPr>
    </w:p>
    <w:p w:rsidRPr="00830DE1" w:rsidR="00BC4CA3" w:rsidRDefault="00000000" w14:paraId="5551045E" w14:textId="0F1F4A5B">
      <w:pPr>
        <w:pStyle w:val="ListParagraph"/>
        <w:numPr>
          <w:ilvl w:val="0"/>
          <w:numId w:val="1"/>
        </w:numPr>
        <w:tabs>
          <w:tab w:val="left" w:pos="700"/>
          <w:tab w:val="left" w:pos="702"/>
        </w:tabs>
        <w:spacing w:before="1" w:line="235" w:lineRule="auto"/>
        <w:ind w:right="132"/>
        <w:jc w:val="both"/>
        <w:rPr>
          <w:sz w:val="21"/>
          <w:lang w:val="fr-FR"/>
        </w:rPr>
      </w:pPr>
      <w:r w:rsidRPr="00830DE1">
        <w:rPr>
          <w:sz w:val="21"/>
          <w:lang w:val="fr-FR"/>
        </w:rPr>
        <w:t xml:space="preserve">Toute partie, qu'il s'agisse du détenteur effectif des droits de propriété intellectuelle ou de toute autre partie (telle qu'un licencié non exclusif, un licencié exclusif, une société du groupe et/ou un autre tiers), qui formule une allégation </w:t>
      </w:r>
      <w:r w:rsidRPr="005144CA" w:rsidR="00C86E99">
        <w:rPr>
          <w:w w:val="105"/>
          <w:sz w:val="21"/>
          <w:lang w:val="fr-FR"/>
        </w:rPr>
        <w:t>de contrefaçon</w:t>
      </w:r>
      <w:r w:rsidR="00C86E99">
        <w:rPr>
          <w:w w:val="105"/>
          <w:sz w:val="21"/>
          <w:lang w:val="fr-FR"/>
        </w:rPr>
        <w:t xml:space="preserve"> </w:t>
      </w:r>
      <w:r w:rsidRPr="005144CA" w:rsidR="00C86E99">
        <w:rPr>
          <w:w w:val="105"/>
          <w:sz w:val="21"/>
          <w:lang w:val="fr-FR"/>
        </w:rPr>
        <w:t xml:space="preserve">de droits de </w:t>
      </w:r>
      <w:r w:rsidR="00C86E99">
        <w:rPr>
          <w:w w:val="105"/>
          <w:sz w:val="21"/>
          <w:lang w:val="fr-FR"/>
        </w:rPr>
        <w:t>PI</w:t>
      </w:r>
      <w:r w:rsidRPr="00830DE1" w:rsidR="00C86E99">
        <w:rPr>
          <w:sz w:val="21"/>
          <w:lang w:val="fr-FR"/>
        </w:rPr>
        <w:t xml:space="preserve"> </w:t>
      </w:r>
      <w:r w:rsidRPr="00830DE1">
        <w:rPr>
          <w:sz w:val="21"/>
          <w:lang w:val="fr-FR"/>
        </w:rPr>
        <w:t xml:space="preserve">est responsable si l'allégation s'avère injustifiée. Les avocats et autres professionnels de la propriété intellectuelle ou du droit agissant à titre professionnel, et conformément aux règles de conduite professionnelle applicables, au nom de leurs clients, ne sont pas personnellement responsables des allégations injustifiées </w:t>
      </w:r>
      <w:r w:rsidRPr="005144CA" w:rsidR="00C86E99">
        <w:rPr>
          <w:w w:val="105"/>
          <w:sz w:val="21"/>
          <w:lang w:val="fr-FR"/>
        </w:rPr>
        <w:t>de contrefaçon</w:t>
      </w:r>
      <w:r w:rsidR="00C86E99">
        <w:rPr>
          <w:w w:val="105"/>
          <w:sz w:val="21"/>
          <w:lang w:val="fr-FR"/>
        </w:rPr>
        <w:t xml:space="preserve"> </w:t>
      </w:r>
      <w:r w:rsidRPr="005144CA" w:rsidR="00C86E99">
        <w:rPr>
          <w:w w:val="105"/>
          <w:sz w:val="21"/>
          <w:lang w:val="fr-FR"/>
        </w:rPr>
        <w:t xml:space="preserve">de droits de </w:t>
      </w:r>
      <w:r w:rsidR="00C86E99">
        <w:rPr>
          <w:w w:val="105"/>
          <w:sz w:val="21"/>
          <w:lang w:val="fr-FR"/>
        </w:rPr>
        <w:t>PI</w:t>
      </w:r>
      <w:r w:rsidRPr="00830DE1">
        <w:rPr>
          <w:sz w:val="21"/>
          <w:lang w:val="fr-FR"/>
        </w:rPr>
        <w:t>.</w:t>
      </w:r>
    </w:p>
    <w:p w:rsidRPr="00830DE1" w:rsidR="00BC4CA3" w:rsidRDefault="00000000" w14:paraId="20217AB1" w14:textId="77EB4596">
      <w:pPr>
        <w:pStyle w:val="ListParagraph"/>
        <w:numPr>
          <w:ilvl w:val="0"/>
          <w:numId w:val="1"/>
        </w:numPr>
        <w:tabs>
          <w:tab w:val="left" w:pos="700"/>
          <w:tab w:val="left" w:pos="702"/>
        </w:tabs>
        <w:spacing w:before="349" w:line="235" w:lineRule="auto"/>
        <w:ind w:right="132"/>
        <w:jc w:val="both"/>
        <w:rPr>
          <w:sz w:val="21"/>
          <w:lang w:val="fr-FR"/>
        </w:rPr>
      </w:pPr>
      <w:r w:rsidRPr="00830DE1">
        <w:rPr>
          <w:sz w:val="21"/>
          <w:lang w:val="fr-FR"/>
        </w:rPr>
        <w:t xml:space="preserve">Une procédure en réparation d'une allégation injustifiée </w:t>
      </w:r>
      <w:r w:rsidRPr="005144CA" w:rsidR="00C86E99">
        <w:rPr>
          <w:w w:val="105"/>
          <w:sz w:val="21"/>
          <w:lang w:val="fr-FR"/>
        </w:rPr>
        <w:t>de contrefaçon</w:t>
      </w:r>
      <w:r w:rsidR="00C86E99">
        <w:rPr>
          <w:w w:val="105"/>
          <w:sz w:val="21"/>
          <w:lang w:val="fr-FR"/>
        </w:rPr>
        <w:t xml:space="preserve"> </w:t>
      </w:r>
      <w:r w:rsidRPr="005144CA" w:rsidR="00C86E99">
        <w:rPr>
          <w:w w:val="105"/>
          <w:sz w:val="21"/>
          <w:lang w:val="fr-FR"/>
        </w:rPr>
        <w:t xml:space="preserve">de droits de </w:t>
      </w:r>
      <w:r w:rsidR="00C86E99">
        <w:rPr>
          <w:w w:val="105"/>
          <w:sz w:val="21"/>
          <w:lang w:val="fr-FR"/>
        </w:rPr>
        <w:t>PI</w:t>
      </w:r>
      <w:r w:rsidRPr="00830DE1">
        <w:rPr>
          <w:sz w:val="21"/>
          <w:lang w:val="fr-FR"/>
        </w:rPr>
        <w:t xml:space="preserve"> peut être engagée par la partie à laquelle l'allégation </w:t>
      </w:r>
      <w:r w:rsidRPr="005144CA" w:rsidR="00C86E99">
        <w:rPr>
          <w:w w:val="105"/>
          <w:sz w:val="21"/>
          <w:lang w:val="fr-FR"/>
        </w:rPr>
        <w:t>de contrefaçon</w:t>
      </w:r>
      <w:r w:rsidR="00C86E99">
        <w:rPr>
          <w:w w:val="105"/>
          <w:sz w:val="21"/>
          <w:lang w:val="fr-FR"/>
        </w:rPr>
        <w:t xml:space="preserve"> </w:t>
      </w:r>
      <w:r w:rsidRPr="005144CA" w:rsidR="00C86E99">
        <w:rPr>
          <w:w w:val="105"/>
          <w:sz w:val="21"/>
          <w:lang w:val="fr-FR"/>
        </w:rPr>
        <w:t xml:space="preserve">de droits de </w:t>
      </w:r>
      <w:r w:rsidR="00C86E99">
        <w:rPr>
          <w:w w:val="105"/>
          <w:sz w:val="21"/>
          <w:lang w:val="fr-FR"/>
        </w:rPr>
        <w:t>PI</w:t>
      </w:r>
      <w:r w:rsidRPr="00830DE1" w:rsidR="00C86E99">
        <w:rPr>
          <w:sz w:val="21"/>
          <w:lang w:val="fr-FR"/>
        </w:rPr>
        <w:t xml:space="preserve"> </w:t>
      </w:r>
      <w:r w:rsidRPr="00830DE1">
        <w:rPr>
          <w:sz w:val="21"/>
          <w:lang w:val="fr-FR"/>
        </w:rPr>
        <w:t xml:space="preserve">a été </w:t>
      </w:r>
      <w:r w:rsidR="00C86E99">
        <w:rPr>
          <w:sz w:val="21"/>
          <w:lang w:val="fr-FR"/>
        </w:rPr>
        <w:t>opposée</w:t>
      </w:r>
      <w:r w:rsidRPr="00830DE1">
        <w:rPr>
          <w:sz w:val="21"/>
          <w:lang w:val="fr-FR"/>
        </w:rPr>
        <w:t xml:space="preserve"> et/ou par toute autre partie dont les intérêts ont été, ou pourraient être, affectés par l'allégation.</w:t>
      </w:r>
    </w:p>
    <w:p w:rsidRPr="00830DE1" w:rsidR="00BC4CA3" w:rsidRDefault="00000000" w14:paraId="3F6CAB66" w14:textId="2D8CDC18">
      <w:pPr>
        <w:pStyle w:val="ListParagraph"/>
        <w:numPr>
          <w:ilvl w:val="0"/>
          <w:numId w:val="1"/>
        </w:numPr>
        <w:tabs>
          <w:tab w:val="left" w:pos="702"/>
        </w:tabs>
        <w:spacing w:before="354" w:line="235" w:lineRule="auto"/>
        <w:ind w:right="134"/>
        <w:jc w:val="both"/>
        <w:rPr>
          <w:sz w:val="21"/>
          <w:lang w:val="fr-FR"/>
        </w:rPr>
      </w:pPr>
      <w:r w:rsidRPr="00830DE1">
        <w:rPr>
          <w:sz w:val="21"/>
          <w:lang w:val="fr-FR"/>
        </w:rPr>
        <w:t xml:space="preserve">Lorsqu'une allégation </w:t>
      </w:r>
      <w:r w:rsidRPr="005144CA" w:rsidR="00C86E99">
        <w:rPr>
          <w:w w:val="105"/>
          <w:sz w:val="21"/>
          <w:lang w:val="fr-FR"/>
        </w:rPr>
        <w:t>de contrefaçon</w:t>
      </w:r>
      <w:r w:rsidR="00C86E99">
        <w:rPr>
          <w:w w:val="105"/>
          <w:sz w:val="21"/>
          <w:lang w:val="fr-FR"/>
        </w:rPr>
        <w:t xml:space="preserve"> </w:t>
      </w:r>
      <w:r w:rsidRPr="005144CA" w:rsidR="00C86E99">
        <w:rPr>
          <w:w w:val="105"/>
          <w:sz w:val="21"/>
          <w:lang w:val="fr-FR"/>
        </w:rPr>
        <w:t xml:space="preserve">de droits de </w:t>
      </w:r>
      <w:r w:rsidR="00C86E99">
        <w:rPr>
          <w:w w:val="105"/>
          <w:sz w:val="21"/>
          <w:lang w:val="fr-FR"/>
        </w:rPr>
        <w:t>PI</w:t>
      </w:r>
      <w:r w:rsidRPr="00830DE1" w:rsidR="00C86E99">
        <w:rPr>
          <w:sz w:val="21"/>
          <w:lang w:val="fr-FR"/>
        </w:rPr>
        <w:t xml:space="preserve"> </w:t>
      </w:r>
      <w:r w:rsidRPr="00830DE1">
        <w:rPr>
          <w:sz w:val="21"/>
          <w:lang w:val="fr-FR"/>
        </w:rPr>
        <w:t>a été jugée injustifiée, un</w:t>
      </w:r>
      <w:r w:rsidR="00C86E99">
        <w:rPr>
          <w:sz w:val="21"/>
          <w:lang w:val="fr-FR"/>
        </w:rPr>
        <w:t>e</w:t>
      </w:r>
      <w:r w:rsidRPr="00830DE1">
        <w:rPr>
          <w:sz w:val="21"/>
          <w:lang w:val="fr-FR"/>
        </w:rPr>
        <w:t xml:space="preserve"> ou plusieurs des r</w:t>
      </w:r>
      <w:r w:rsidR="00C86E99">
        <w:rPr>
          <w:sz w:val="21"/>
          <w:lang w:val="fr-FR"/>
        </w:rPr>
        <w:t>éparations</w:t>
      </w:r>
      <w:r w:rsidRPr="00830DE1">
        <w:rPr>
          <w:sz w:val="21"/>
          <w:lang w:val="fr-FR"/>
        </w:rPr>
        <w:t xml:space="preserve"> suivant</w:t>
      </w:r>
      <w:r w:rsidR="00C86E99">
        <w:rPr>
          <w:sz w:val="21"/>
          <w:lang w:val="fr-FR"/>
        </w:rPr>
        <w:t>e</w:t>
      </w:r>
      <w:r w:rsidRPr="00830DE1">
        <w:rPr>
          <w:sz w:val="21"/>
          <w:lang w:val="fr-FR"/>
        </w:rPr>
        <w:t xml:space="preserve">s, le cas échéant, devraient être disponibles contre la partie qui a formulé </w:t>
      </w:r>
      <w:r w:rsidRPr="00830DE1">
        <w:rPr>
          <w:spacing w:val="-2"/>
          <w:sz w:val="21"/>
          <w:lang w:val="fr-FR"/>
        </w:rPr>
        <w:t xml:space="preserve">l'allégation </w:t>
      </w:r>
      <w:r w:rsidRPr="00830DE1">
        <w:rPr>
          <w:sz w:val="21"/>
          <w:lang w:val="fr-FR"/>
        </w:rPr>
        <w:t xml:space="preserve">injustifiée </w:t>
      </w:r>
      <w:r w:rsidRPr="00830DE1">
        <w:rPr>
          <w:spacing w:val="-2"/>
          <w:sz w:val="21"/>
          <w:lang w:val="fr-FR"/>
        </w:rPr>
        <w:t>:</w:t>
      </w:r>
    </w:p>
    <w:p w:rsidRPr="00830DE1" w:rsidR="00BC4CA3" w:rsidP="00C86E99" w:rsidRDefault="00000000" w14:paraId="46F82C64" w14:textId="14ADBD9E">
      <w:pPr>
        <w:pStyle w:val="ListParagraph"/>
        <w:numPr>
          <w:ilvl w:val="1"/>
          <w:numId w:val="1"/>
        </w:numPr>
        <w:tabs>
          <w:tab w:val="left" w:pos="1214"/>
          <w:tab w:val="left" w:pos="1216"/>
        </w:tabs>
        <w:spacing w:line="268" w:lineRule="auto"/>
        <w:ind w:right="136"/>
        <w:jc w:val="both"/>
        <w:rPr>
          <w:sz w:val="21"/>
          <w:lang w:val="fr-FR"/>
        </w:rPr>
      </w:pPr>
      <w:r w:rsidRPr="00830DE1">
        <w:rPr>
          <w:sz w:val="21"/>
          <w:lang w:val="fr-FR"/>
        </w:rPr>
        <w:t xml:space="preserve">Jugement déclaratoire selon lequel l'allégation </w:t>
      </w:r>
      <w:r w:rsidRPr="005144CA" w:rsidR="00C86E99">
        <w:rPr>
          <w:w w:val="105"/>
          <w:sz w:val="21"/>
          <w:lang w:val="fr-FR"/>
        </w:rPr>
        <w:t>de contrefaçon</w:t>
      </w:r>
      <w:r w:rsidR="00C86E99">
        <w:rPr>
          <w:w w:val="105"/>
          <w:sz w:val="21"/>
          <w:lang w:val="fr-FR"/>
        </w:rPr>
        <w:t xml:space="preserve"> </w:t>
      </w:r>
      <w:r w:rsidRPr="005144CA" w:rsidR="00C86E99">
        <w:rPr>
          <w:w w:val="105"/>
          <w:sz w:val="21"/>
          <w:lang w:val="fr-FR"/>
        </w:rPr>
        <w:t xml:space="preserve">de droits de </w:t>
      </w:r>
      <w:r w:rsidR="00C86E99">
        <w:rPr>
          <w:w w:val="105"/>
          <w:sz w:val="21"/>
          <w:lang w:val="fr-FR"/>
        </w:rPr>
        <w:t>PI</w:t>
      </w:r>
      <w:r w:rsidRPr="00830DE1" w:rsidR="00C86E99">
        <w:rPr>
          <w:sz w:val="21"/>
          <w:lang w:val="fr-FR"/>
        </w:rPr>
        <w:t xml:space="preserve"> </w:t>
      </w:r>
      <w:r w:rsidRPr="00830DE1">
        <w:rPr>
          <w:sz w:val="21"/>
          <w:lang w:val="fr-FR"/>
        </w:rPr>
        <w:t xml:space="preserve">est </w:t>
      </w:r>
      <w:r w:rsidRPr="00830DE1">
        <w:rPr>
          <w:spacing w:val="-2"/>
          <w:sz w:val="21"/>
          <w:lang w:val="fr-FR"/>
        </w:rPr>
        <w:t>injustifiée ;</w:t>
      </w:r>
    </w:p>
    <w:p w:rsidRPr="00830DE1" w:rsidR="00BC4CA3" w:rsidRDefault="00000000" w14:paraId="39CBC4FB" w14:textId="44F82E1C">
      <w:pPr>
        <w:pStyle w:val="ListParagraph"/>
        <w:numPr>
          <w:ilvl w:val="1"/>
          <w:numId w:val="1"/>
        </w:numPr>
        <w:tabs>
          <w:tab w:val="left" w:pos="1214"/>
        </w:tabs>
        <w:spacing w:line="364" w:lineRule="exact"/>
        <w:ind w:left="1214" w:hanging="358"/>
        <w:rPr>
          <w:sz w:val="21"/>
          <w:lang w:val="fr-FR"/>
        </w:rPr>
      </w:pPr>
      <w:r w:rsidRPr="00830DE1">
        <w:rPr>
          <w:spacing w:val="-2"/>
          <w:sz w:val="21"/>
          <w:lang w:val="fr-FR"/>
        </w:rPr>
        <w:t>In</w:t>
      </w:r>
      <w:r w:rsidR="00C86E99">
        <w:rPr>
          <w:spacing w:val="-2"/>
          <w:sz w:val="21"/>
          <w:lang w:val="fr-FR"/>
        </w:rPr>
        <w:t>terdiction</w:t>
      </w:r>
      <w:r w:rsidRPr="00830DE1">
        <w:rPr>
          <w:spacing w:val="-2"/>
          <w:sz w:val="21"/>
          <w:lang w:val="fr-FR"/>
        </w:rPr>
        <w:t xml:space="preserve"> ;</w:t>
      </w:r>
    </w:p>
    <w:p w:rsidRPr="00830DE1" w:rsidR="00BC4CA3" w:rsidRDefault="00000000" w14:paraId="5950A40E" w14:textId="77777777">
      <w:pPr>
        <w:pStyle w:val="ListParagraph"/>
        <w:numPr>
          <w:ilvl w:val="1"/>
          <w:numId w:val="1"/>
        </w:numPr>
        <w:tabs>
          <w:tab w:val="left" w:pos="1214"/>
        </w:tabs>
        <w:spacing w:line="360" w:lineRule="exact"/>
        <w:ind w:left="1214" w:hanging="358"/>
        <w:rPr>
          <w:sz w:val="21"/>
          <w:lang w:val="fr-FR"/>
        </w:rPr>
      </w:pPr>
      <w:r w:rsidRPr="00830DE1">
        <w:rPr>
          <w:spacing w:val="-2"/>
          <w:w w:val="105"/>
          <w:sz w:val="21"/>
          <w:lang w:val="fr-FR"/>
        </w:rPr>
        <w:t>Dommages et intérêts ;</w:t>
      </w:r>
    </w:p>
    <w:p w:rsidRPr="00830DE1" w:rsidR="00BC4CA3" w:rsidRDefault="00000000" w14:paraId="05B282E2" w14:textId="77777777">
      <w:pPr>
        <w:pStyle w:val="ListParagraph"/>
        <w:numPr>
          <w:ilvl w:val="1"/>
          <w:numId w:val="1"/>
        </w:numPr>
        <w:tabs>
          <w:tab w:val="left" w:pos="1214"/>
        </w:tabs>
        <w:spacing w:line="360" w:lineRule="exact"/>
        <w:ind w:left="1214" w:hanging="358"/>
        <w:rPr>
          <w:sz w:val="21"/>
          <w:lang w:val="fr-FR"/>
        </w:rPr>
      </w:pPr>
      <w:r w:rsidRPr="00830DE1">
        <w:rPr>
          <w:spacing w:val="-2"/>
          <w:sz w:val="21"/>
          <w:lang w:val="fr-FR"/>
        </w:rPr>
        <w:t>Amendes ;</w:t>
      </w:r>
    </w:p>
    <w:p w:rsidRPr="00830DE1" w:rsidR="00BC4CA3" w:rsidRDefault="00000000" w14:paraId="2C53CAC1" w14:textId="77777777">
      <w:pPr>
        <w:pStyle w:val="ListParagraph"/>
        <w:numPr>
          <w:ilvl w:val="1"/>
          <w:numId w:val="1"/>
        </w:numPr>
        <w:tabs>
          <w:tab w:val="left" w:pos="1215"/>
        </w:tabs>
        <w:spacing w:line="364" w:lineRule="exact"/>
        <w:ind w:left="1215" w:hanging="359"/>
        <w:rPr>
          <w:sz w:val="21"/>
          <w:lang w:val="fr-FR"/>
        </w:rPr>
      </w:pPr>
      <w:r w:rsidRPr="00830DE1">
        <w:rPr>
          <w:spacing w:val="-2"/>
          <w:sz w:val="21"/>
          <w:lang w:val="fr-FR"/>
        </w:rPr>
        <w:t xml:space="preserve">Dommages-intérêts </w:t>
      </w:r>
      <w:r w:rsidRPr="00830DE1">
        <w:rPr>
          <w:sz w:val="21"/>
          <w:lang w:val="fr-FR"/>
        </w:rPr>
        <w:t xml:space="preserve">punitifs </w:t>
      </w:r>
      <w:r w:rsidRPr="00830DE1">
        <w:rPr>
          <w:spacing w:val="-2"/>
          <w:sz w:val="21"/>
          <w:lang w:val="fr-FR"/>
        </w:rPr>
        <w:t>;</w:t>
      </w:r>
    </w:p>
    <w:p w:rsidRPr="00830DE1" w:rsidR="00BC4CA3" w:rsidRDefault="00BC4CA3" w14:paraId="25961FDD" w14:textId="77777777">
      <w:pPr>
        <w:spacing w:line="364" w:lineRule="exact"/>
        <w:rPr>
          <w:sz w:val="21"/>
          <w:lang w:val="fr-FR"/>
        </w:rPr>
        <w:sectPr w:rsidRPr="00830DE1" w:rsidR="00BC4CA3">
          <w:pgSz w:w="11910" w:h="16840"/>
          <w:pgMar w:top="1340" w:right="1280" w:bottom="1620" w:left="1280" w:header="717" w:footer="1405" w:gutter="0"/>
          <w:cols w:space="720"/>
        </w:sectPr>
      </w:pPr>
    </w:p>
    <w:p w:rsidRPr="00830DE1" w:rsidR="00BC4CA3" w:rsidRDefault="00000000" w14:paraId="0B511B48" w14:textId="3ABD9C43">
      <w:pPr>
        <w:pStyle w:val="ListParagraph"/>
        <w:numPr>
          <w:ilvl w:val="1"/>
          <w:numId w:val="1"/>
        </w:numPr>
        <w:tabs>
          <w:tab w:val="left" w:pos="1216"/>
        </w:tabs>
        <w:spacing w:before="78" w:line="365" w:lineRule="exact"/>
        <w:rPr>
          <w:sz w:val="21"/>
          <w:lang w:val="fr-FR"/>
        </w:rPr>
      </w:pPr>
      <w:r w:rsidRPr="00830DE1">
        <w:rPr>
          <w:sz w:val="21"/>
          <w:lang w:val="fr-FR"/>
        </w:rPr>
        <w:lastRenderedPageBreak/>
        <w:t xml:space="preserve">Publication </w:t>
      </w:r>
      <w:r w:rsidR="00C86E99">
        <w:rPr>
          <w:sz w:val="21"/>
          <w:lang w:val="fr-FR"/>
        </w:rPr>
        <w:t>du jugement</w:t>
      </w:r>
      <w:r w:rsidRPr="00830DE1">
        <w:rPr>
          <w:spacing w:val="-2"/>
          <w:sz w:val="21"/>
          <w:lang w:val="fr-FR"/>
        </w:rPr>
        <w:t xml:space="preserve"> ;</w:t>
      </w:r>
    </w:p>
    <w:p w:rsidRPr="00830DE1" w:rsidR="00BC4CA3" w:rsidRDefault="00000000" w14:paraId="41906343" w14:textId="0E92624D">
      <w:pPr>
        <w:pStyle w:val="ListParagraph"/>
        <w:numPr>
          <w:ilvl w:val="1"/>
          <w:numId w:val="1"/>
        </w:numPr>
        <w:tabs>
          <w:tab w:val="left" w:pos="1214"/>
        </w:tabs>
        <w:spacing w:line="360" w:lineRule="exact"/>
        <w:ind w:left="1214" w:hanging="358"/>
        <w:rPr>
          <w:sz w:val="21"/>
          <w:lang w:val="fr-FR"/>
        </w:rPr>
      </w:pPr>
      <w:r w:rsidRPr="00830DE1">
        <w:rPr>
          <w:sz w:val="21"/>
          <w:lang w:val="fr-FR"/>
        </w:rPr>
        <w:t xml:space="preserve">Publication de la </w:t>
      </w:r>
      <w:r w:rsidR="00C86E99">
        <w:rPr>
          <w:spacing w:val="-2"/>
          <w:sz w:val="21"/>
          <w:lang w:val="fr-FR"/>
        </w:rPr>
        <w:t>rectification</w:t>
      </w:r>
      <w:r w:rsidRPr="00830DE1">
        <w:rPr>
          <w:spacing w:val="-2"/>
          <w:sz w:val="21"/>
          <w:lang w:val="fr-FR"/>
        </w:rPr>
        <w:t xml:space="preserve"> ;</w:t>
      </w:r>
    </w:p>
    <w:p w:rsidRPr="00830DE1" w:rsidR="00BC4CA3" w:rsidRDefault="00000000" w14:paraId="5B3CCD77" w14:textId="77777777">
      <w:pPr>
        <w:pStyle w:val="ListParagraph"/>
        <w:numPr>
          <w:ilvl w:val="1"/>
          <w:numId w:val="1"/>
        </w:numPr>
        <w:tabs>
          <w:tab w:val="left" w:pos="1215"/>
        </w:tabs>
        <w:spacing w:line="360" w:lineRule="exact"/>
        <w:ind w:left="1215" w:hanging="359"/>
        <w:rPr>
          <w:sz w:val="21"/>
          <w:lang w:val="fr-FR"/>
        </w:rPr>
      </w:pPr>
      <w:r w:rsidRPr="00830DE1">
        <w:rPr>
          <w:sz w:val="21"/>
          <w:lang w:val="fr-FR"/>
        </w:rPr>
        <w:t xml:space="preserve">Le retrait de l'allégation </w:t>
      </w:r>
      <w:r w:rsidRPr="00830DE1">
        <w:rPr>
          <w:spacing w:val="-2"/>
          <w:sz w:val="21"/>
          <w:lang w:val="fr-FR"/>
        </w:rPr>
        <w:t>; et/ou</w:t>
      </w:r>
    </w:p>
    <w:p w:rsidRPr="00830DE1" w:rsidR="00BC4CA3" w:rsidRDefault="00000000" w14:paraId="46A33D0D" w14:textId="77777777">
      <w:pPr>
        <w:pStyle w:val="ListParagraph"/>
        <w:numPr>
          <w:ilvl w:val="1"/>
          <w:numId w:val="1"/>
        </w:numPr>
        <w:tabs>
          <w:tab w:val="left" w:pos="1216"/>
        </w:tabs>
        <w:spacing w:line="364" w:lineRule="exact"/>
        <w:rPr>
          <w:sz w:val="21"/>
          <w:lang w:val="fr-FR"/>
        </w:rPr>
      </w:pPr>
      <w:r w:rsidRPr="00830DE1">
        <w:rPr>
          <w:spacing w:val="-2"/>
          <w:w w:val="105"/>
          <w:sz w:val="21"/>
          <w:lang w:val="fr-FR"/>
        </w:rPr>
        <w:t>Remboursement des frais de justice et d'avocat.</w:t>
      </w:r>
    </w:p>
    <w:p w:rsidRPr="00830DE1" w:rsidR="00BC4CA3" w:rsidRDefault="00000000" w14:paraId="7F69E7FF" w14:textId="087F9F83">
      <w:pPr>
        <w:pStyle w:val="ListParagraph"/>
        <w:numPr>
          <w:ilvl w:val="0"/>
          <w:numId w:val="1"/>
        </w:numPr>
        <w:tabs>
          <w:tab w:val="left" w:pos="702"/>
        </w:tabs>
        <w:spacing w:before="357" w:line="235" w:lineRule="auto"/>
        <w:ind w:right="134"/>
        <w:rPr>
          <w:sz w:val="21"/>
          <w:lang w:val="fr-FR"/>
        </w:rPr>
      </w:pPr>
      <w:r w:rsidRPr="00830DE1">
        <w:rPr>
          <w:sz w:val="21"/>
          <w:lang w:val="fr-FR"/>
        </w:rPr>
        <w:t xml:space="preserve">La charge de la preuve dans les cas d'allégations injustifiées </w:t>
      </w:r>
      <w:r w:rsidRPr="005144CA" w:rsidR="00C86E99">
        <w:rPr>
          <w:w w:val="105"/>
          <w:sz w:val="21"/>
          <w:lang w:val="fr-FR"/>
        </w:rPr>
        <w:t>de contrefaçon</w:t>
      </w:r>
      <w:r w:rsidR="00C86E99">
        <w:rPr>
          <w:w w:val="105"/>
          <w:sz w:val="21"/>
          <w:lang w:val="fr-FR"/>
        </w:rPr>
        <w:t xml:space="preserve"> </w:t>
      </w:r>
      <w:r w:rsidRPr="005144CA" w:rsidR="00C86E99">
        <w:rPr>
          <w:w w:val="105"/>
          <w:sz w:val="21"/>
          <w:lang w:val="fr-FR"/>
        </w:rPr>
        <w:t xml:space="preserve">de droits de </w:t>
      </w:r>
      <w:r w:rsidR="00C86E99">
        <w:rPr>
          <w:w w:val="105"/>
          <w:sz w:val="21"/>
          <w:lang w:val="fr-FR"/>
        </w:rPr>
        <w:t>PI</w:t>
      </w:r>
      <w:r w:rsidRPr="00830DE1" w:rsidR="00C86E99">
        <w:rPr>
          <w:sz w:val="21"/>
          <w:lang w:val="fr-FR"/>
        </w:rPr>
        <w:t xml:space="preserve"> </w:t>
      </w:r>
      <w:r w:rsidRPr="00830DE1">
        <w:rPr>
          <w:sz w:val="21"/>
          <w:lang w:val="fr-FR"/>
        </w:rPr>
        <w:t>incombe à la partie qui prétend que l'allégation est injustifiée.</w:t>
      </w:r>
    </w:p>
    <w:sectPr w:rsidRPr="00830DE1" w:rsidR="00BC4CA3">
      <w:pgSz w:w="11910" w:h="16840"/>
      <w:pgMar w:top="1340" w:right="1280" w:bottom="1620" w:left="1280" w:header="717" w:footer="1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3CA4" w:rsidRDefault="000B3CA4" w14:paraId="5D8CD722" w14:textId="77777777">
      <w:r>
        <w:separator/>
      </w:r>
    </w:p>
  </w:endnote>
  <w:endnote w:type="continuationSeparator" w:id="0">
    <w:p w:rsidR="000B3CA4" w:rsidRDefault="000B3CA4" w14:paraId="742DA77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altName w:val="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4CA3" w:rsidRDefault="00000000" w14:paraId="1EB2833B" w14:textId="77777777">
    <w:pPr>
      <w:pStyle w:val="BodyText"/>
      <w:spacing w:line="14" w:lineRule="auto"/>
      <w:rPr>
        <w:sz w:val="18"/>
      </w:rPr>
    </w:pPr>
    <w:r>
      <w:rPr>
        <w:noProof/>
      </w:rPr>
      <mc:AlternateContent>
        <mc:Choice Requires="wps">
          <w:drawing>
            <wp:anchor distT="0" distB="0" distL="0" distR="0" simplePos="0" relativeHeight="487530496" behindDoc="1" locked="0" layoutInCell="1" allowOverlap="1" wp14:editId="0D525B62" wp14:anchorId="18B5B0F5">
              <wp:simplePos x="0" y="0"/>
              <wp:positionH relativeFrom="page">
                <wp:posOffset>3702430</wp:posOffset>
              </wp:positionH>
              <wp:positionV relativeFrom="page">
                <wp:posOffset>9647196</wp:posOffset>
              </wp:positionV>
              <wp:extent cx="167005" cy="182245"/>
              <wp:effectExtent l="0" t="0" r="0" b="0"/>
              <wp:wrapNone/>
              <wp:docPr id="2" name="Textbox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BC4CA3" w:rsidRDefault="00000000" w14:paraId="6E6DDA6F" w14:textId="77777777">
                          <w:pPr>
                            <w:spacing w:before="13"/>
                            <w:ind w:left="60"/>
                            <w:rPr>
                              <w:rFonts w:ascii="Arial"/>
                              <w:b/>
                            </w:rPr>
                          </w:pPr>
                          <w:r>
                            <w:rPr>
                              <w:rFonts w:ascii="Arial"/>
                              <w:b/>
                              <w:spacing w:val="-10"/>
                            </w:rPr>
                            <w:fldChar w:fldCharType="begin"/>
                          </w:r>
                          <w:r>
                            <w:rPr>
                              <w:rFonts w:ascii="Arial"/>
                              <w:b/>
                              <w:spacing w:val="-10"/>
                            </w:rPr>
                            <w:instrText xml:space="preserve"> PAGE </w:instrText>
                          </w:r>
                          <w:r>
                            <w:rPr>
                              <w:rFonts w:ascii="Arial"/>
                              <w:b/>
                              <w:spacing w:val="-10"/>
                            </w:rPr>
                            <w:fldChar w:fldCharType="separate"/>
                          </w:r>
                          <w:r>
                            <w:rPr>
                              <w:rFonts w:ascii="Arial"/>
                              <w:b/>
                              <w:spacing w:val="-10"/>
                            </w:rPr>
                            <w:t>2</w:t>
                          </w:r>
                          <w:r>
                            <w:rPr>
                              <w:rFonts w:ascii="Arial"/>
                              <w:b/>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18B5B0F5">
              <v:stroke joinstyle="miter"/>
              <v:path gradientshapeok="t" o:connecttype="rect"/>
            </v:shapetype>
            <v:shape id="Textbox 2" style="position:absolute;margin-left:291.55pt;margin-top:759.6pt;width:13.15pt;height:14.35pt;z-index:-15785984;visibility:visible;mso-wrap-style:square;mso-wrap-distance-left:0;mso-wrap-distance-top:0;mso-wrap-distance-right:0;mso-wrap-distance-bottom:0;mso-position-horizontal:absolute;mso-position-horizontal-relative:page;mso-position-vertical:absolute;mso-position-vertical-relative:page;v-text-anchor:top" al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ULlw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">
              <v:textbox inset="0,0,0,0">
                <w:txbxContent>
                  <w:p w:rsidR="00BC4CA3" w:rsidRDefault="00000000" w14:paraId="6E6DDA6F" w14:textId="77777777">
                    <w:pPr>
                      <w:spacing w:before="13"/>
                      <w:ind w:left="60"/>
                      <w:rPr>
                        <w:rFonts w:ascii="Arial"/>
                        <w:b/>
                      </w:rPr>
                    </w:pPr>
                    <w:r>
                      <w:rPr>
                        <w:rFonts w:ascii="Arial"/>
                        <w:b/>
                        <w:spacing w:val="-10"/>
                      </w:rPr>
                      <w:fldChar w:fldCharType="begin"/>
                    </w:r>
                    <w:r>
                      <w:rPr>
                        <w:rFonts w:ascii="Arial"/>
                        <w:b/>
                        <w:spacing w:val="-10"/>
                      </w:rPr>
                      <w:instrText xml:space="preserve"> PAGE </w:instrText>
                    </w:r>
                    <w:r>
                      <w:rPr>
                        <w:rFonts w:ascii="Arial"/>
                        <w:b/>
                        <w:spacing w:val="-10"/>
                      </w:rPr>
                      <w:fldChar w:fldCharType="separate"/>
                    </w:r>
                    <w:r>
                      <w:rPr>
                        <w:rFonts w:ascii="Arial"/>
                        <w:b/>
                        <w:spacing w:val="-10"/>
                      </w:rPr>
                      <w:t>2</w:t>
                    </w:r>
                    <w:r>
                      <w:rPr>
                        <w:rFonts w:ascii="Arial"/>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3CA4" w:rsidRDefault="000B3CA4" w14:paraId="1C805A39" w14:textId="77777777">
      <w:r>
        <w:separator/>
      </w:r>
    </w:p>
  </w:footnote>
  <w:footnote w:type="continuationSeparator" w:id="0">
    <w:p w:rsidR="000B3CA4" w:rsidRDefault="000B3CA4" w14:paraId="658526B9" w14:textId="77777777">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4CA3" w:rsidRDefault="00000000" w14:paraId="3D998E74" w14:textId="77777777">
    <w:pPr>
      <w:pStyle w:val="BodyText"/>
      <w:spacing w:line="14" w:lineRule="auto"/>
      <w:rPr>
        <w:sz w:val="18"/>
      </w:rPr>
    </w:pPr>
    <w:r>
      <w:rPr>
        <w:noProof/>
      </w:rPr>
      <mc:AlternateContent>
        <mc:Choice Requires="wps">
          <w:drawing>
            <wp:anchor distT="0" distB="0" distL="0" distR="0" simplePos="0" relativeHeight="487529984" behindDoc="1" locked="0" layoutInCell="1" allowOverlap="1" wp14:editId="1A99C8B6" wp14:anchorId="48A5C595">
              <wp:simplePos x="0" y="0"/>
              <wp:positionH relativeFrom="page">
                <wp:posOffset>886764</wp:posOffset>
              </wp:positionH>
              <wp:positionV relativeFrom="page">
                <wp:posOffset>442541</wp:posOffset>
              </wp:positionV>
              <wp:extent cx="1060450" cy="182245"/>
              <wp:effectExtent l="0" t="0" r="0" b="0"/>
              <wp:wrapNone/>
              <wp:docPr id="1" name="Textbox 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0" cy="182245"/>
                      </a:xfrm>
                      <a:prstGeom prst="rect">
                        <a:avLst/>
                      </a:prstGeom>
                    </wps:spPr>
                    <wps:txbx>
                      <w:txbxContent>
                        <w:p w:rsidR="00BC4CA3" w:rsidRDefault="00000000" w14:paraId="2B8870CE" w14:textId="77777777">
                          <w:pPr>
                            <w:spacing w:before="13"/>
                            <w:ind w:left="20"/>
                            <w:rPr>
                              <w:rFonts w:ascii="Arial"/>
                              <w:b/>
                            </w:rPr>
                          </w:pPr>
                          <w:r>
                            <w:rPr>
                              <w:rFonts w:ascii="Arial"/>
                              <w:b/>
                              <w:spacing w:val="-4"/>
                            </w:rPr>
                            <w:t>Q292-RES-2024</w:t>
                          </w:r>
                        </w:p>
                      </w:txbxContent>
                    </wps:txbx>
                    <wps:bodyPr wrap="square" lIns="0" tIns="0" rIns="0" bIns="0" rtlCol="0">
                      <a:noAutofit/>
                    </wps:bodyPr>
                  </wps:wsp>
                </a:graphicData>
              </a:graphic>
            </wp:anchor>
          </w:drawing>
        </mc:Choice>
        <mc:Fallback>
          <w:pict>
            <v:shapetype id="_x0000_t202" coordsize="21600,21600" o:spt="202" path="m,l,21600r21600,l21600,xe" w14:anchorId="48A5C595">
              <v:stroke joinstyle="miter"/>
              <v:path gradientshapeok="t" o:connecttype="rect"/>
            </v:shapetype>
            <v:shape id="Textbox 1" style="position:absolute;margin-left:69.8pt;margin-top:34.85pt;width:83.5pt;height:14.35pt;z-index:-15786496;visibility:visible;mso-wrap-style:square;mso-wrap-distance-left:0;mso-wrap-distance-top:0;mso-wrap-distance-right:0;mso-wrap-distance-bottom:0;mso-position-horizontal:absolute;mso-position-horizontal-relative:page;mso-position-vertical:absolute;mso-position-vertical-relative:page;v-text-anchor:top" al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">
              <v:textbox inset="0,0,0,0">
                <w:txbxContent>
                  <w:p w:rsidR="00BC4CA3" w:rsidRDefault="00000000" w14:paraId="2B8870CE" w14:textId="77777777">
                    <w:pPr>
                      <w:spacing w:before="13"/>
                      <w:ind w:left="20"/>
                      <w:rPr>
                        <w:rFonts w:ascii="Arial"/>
                        <w:b/>
                      </w:rPr>
                    </w:pPr>
                    <w:r>
                      <w:rPr>
                        <w:rFonts w:ascii="Arial"/>
                        <w:b/>
                        <w:spacing w:val="-4"/>
                      </w:rPr>
                      <w:t>Q292-RES-2024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A76AC"/>
    <w:multiLevelType w:val="hybridMultilevel"/>
    <w:tmpl w:val="DB12BBA2"/>
    <w:lvl w:ilvl="0" w:tplc="B0145E64">
      <w:start w:val="1"/>
      <w:numFmt w:val="decimal"/>
      <w:lvlText w:val="%1)"/>
      <w:lvlJc w:val="left"/>
      <w:pPr>
        <w:ind w:left="707" w:hanging="572"/>
        <w:jc w:val="left"/>
      </w:pPr>
      <w:rPr>
        <w:rFonts w:ascii="Lucida Sans Unicode" w:eastAsia="Lucida Sans Unicode" w:hAnsi="Lucida Sans Unicode" w:cs="Lucida Sans Unicode" w:hint="default"/>
        <w:b w:val="0"/>
        <w:bCs w:val="0"/>
        <w:i w:val="0"/>
        <w:iCs w:val="0"/>
        <w:spacing w:val="0"/>
        <w:w w:val="80"/>
        <w:sz w:val="21"/>
        <w:szCs w:val="21"/>
        <w:lang w:val="en-US" w:eastAsia="en-US" w:bidi="ar-SA"/>
      </w:rPr>
    </w:lvl>
    <w:lvl w:ilvl="1" w:tplc="B0B8EF8E">
      <w:numFmt w:val="bullet"/>
      <w:lvlText w:val="•"/>
      <w:lvlJc w:val="left"/>
      <w:pPr>
        <w:ind w:left="1564" w:hanging="572"/>
      </w:pPr>
      <w:rPr>
        <w:rFonts w:hint="default"/>
        <w:lang w:val="en-US" w:eastAsia="en-US" w:bidi="ar-SA"/>
      </w:rPr>
    </w:lvl>
    <w:lvl w:ilvl="2" w:tplc="A9C6829A">
      <w:numFmt w:val="bullet"/>
      <w:lvlText w:val="•"/>
      <w:lvlJc w:val="left"/>
      <w:pPr>
        <w:ind w:left="2429" w:hanging="572"/>
      </w:pPr>
      <w:rPr>
        <w:rFonts w:hint="default"/>
        <w:lang w:val="en-US" w:eastAsia="en-US" w:bidi="ar-SA"/>
      </w:rPr>
    </w:lvl>
    <w:lvl w:ilvl="3" w:tplc="BD76E2E2">
      <w:numFmt w:val="bullet"/>
      <w:lvlText w:val="•"/>
      <w:lvlJc w:val="left"/>
      <w:pPr>
        <w:ind w:left="3293" w:hanging="572"/>
      </w:pPr>
      <w:rPr>
        <w:rFonts w:hint="default"/>
        <w:lang w:val="en-US" w:eastAsia="en-US" w:bidi="ar-SA"/>
      </w:rPr>
    </w:lvl>
    <w:lvl w:ilvl="4" w:tplc="A05A422E">
      <w:numFmt w:val="bullet"/>
      <w:lvlText w:val="•"/>
      <w:lvlJc w:val="left"/>
      <w:pPr>
        <w:ind w:left="4158" w:hanging="572"/>
      </w:pPr>
      <w:rPr>
        <w:rFonts w:hint="default"/>
        <w:lang w:val="en-US" w:eastAsia="en-US" w:bidi="ar-SA"/>
      </w:rPr>
    </w:lvl>
    <w:lvl w:ilvl="5" w:tplc="387653A6">
      <w:numFmt w:val="bullet"/>
      <w:lvlText w:val="•"/>
      <w:lvlJc w:val="left"/>
      <w:pPr>
        <w:ind w:left="5023" w:hanging="572"/>
      </w:pPr>
      <w:rPr>
        <w:rFonts w:hint="default"/>
        <w:lang w:val="en-US" w:eastAsia="en-US" w:bidi="ar-SA"/>
      </w:rPr>
    </w:lvl>
    <w:lvl w:ilvl="6" w:tplc="8AF6864E">
      <w:numFmt w:val="bullet"/>
      <w:lvlText w:val="•"/>
      <w:lvlJc w:val="left"/>
      <w:pPr>
        <w:ind w:left="5887" w:hanging="572"/>
      </w:pPr>
      <w:rPr>
        <w:rFonts w:hint="default"/>
        <w:lang w:val="en-US" w:eastAsia="en-US" w:bidi="ar-SA"/>
      </w:rPr>
    </w:lvl>
    <w:lvl w:ilvl="7" w:tplc="F18E627E">
      <w:numFmt w:val="bullet"/>
      <w:lvlText w:val="•"/>
      <w:lvlJc w:val="left"/>
      <w:pPr>
        <w:ind w:left="6752" w:hanging="572"/>
      </w:pPr>
      <w:rPr>
        <w:rFonts w:hint="default"/>
        <w:lang w:val="en-US" w:eastAsia="en-US" w:bidi="ar-SA"/>
      </w:rPr>
    </w:lvl>
    <w:lvl w:ilvl="8" w:tplc="E1C6049E">
      <w:numFmt w:val="bullet"/>
      <w:lvlText w:val="•"/>
      <w:lvlJc w:val="left"/>
      <w:pPr>
        <w:ind w:left="7617" w:hanging="572"/>
      </w:pPr>
      <w:rPr>
        <w:rFonts w:hint="default"/>
        <w:lang w:val="en-US" w:eastAsia="en-US" w:bidi="ar-SA"/>
      </w:rPr>
    </w:lvl>
  </w:abstractNum>
  <w:abstractNum w:abstractNumId="1" w15:restartNumberingAfterBreak="0">
    <w:nsid w:val="7CD6641C"/>
    <w:multiLevelType w:val="hybridMultilevel"/>
    <w:tmpl w:val="B81E0252"/>
    <w:lvl w:ilvl="0" w:tplc="3C5C1162">
      <w:start w:val="1"/>
      <w:numFmt w:val="decimal"/>
      <w:lvlText w:val="%1)"/>
      <w:lvlJc w:val="left"/>
      <w:pPr>
        <w:ind w:left="702" w:hanging="567"/>
        <w:jc w:val="left"/>
      </w:pPr>
      <w:rPr>
        <w:rFonts w:ascii="Lucida Sans Unicode" w:eastAsia="Lucida Sans Unicode" w:hAnsi="Lucida Sans Unicode" w:cs="Lucida Sans Unicode" w:hint="default"/>
        <w:b w:val="0"/>
        <w:bCs w:val="0"/>
        <w:i w:val="0"/>
        <w:iCs w:val="0"/>
        <w:spacing w:val="0"/>
        <w:w w:val="80"/>
        <w:sz w:val="21"/>
        <w:szCs w:val="21"/>
        <w:lang w:val="en-US" w:eastAsia="en-US" w:bidi="ar-SA"/>
      </w:rPr>
    </w:lvl>
    <w:lvl w:ilvl="1" w:tplc="2F9CD29C">
      <w:start w:val="1"/>
      <w:numFmt w:val="lowerLetter"/>
      <w:lvlText w:val="%2."/>
      <w:lvlJc w:val="left"/>
      <w:pPr>
        <w:ind w:left="1216" w:hanging="360"/>
        <w:jc w:val="left"/>
      </w:pPr>
      <w:rPr>
        <w:rFonts w:ascii="Lucida Sans Unicode" w:eastAsia="Lucida Sans Unicode" w:hAnsi="Lucida Sans Unicode" w:cs="Lucida Sans Unicode" w:hint="default"/>
        <w:b w:val="0"/>
        <w:bCs w:val="0"/>
        <w:i w:val="0"/>
        <w:iCs w:val="0"/>
        <w:spacing w:val="0"/>
        <w:w w:val="101"/>
        <w:sz w:val="21"/>
        <w:szCs w:val="21"/>
        <w:lang w:val="en-US" w:eastAsia="en-US" w:bidi="ar-SA"/>
      </w:rPr>
    </w:lvl>
    <w:lvl w:ilvl="2" w:tplc="46580CAE">
      <w:numFmt w:val="bullet"/>
      <w:lvlText w:val="•"/>
      <w:lvlJc w:val="left"/>
      <w:pPr>
        <w:ind w:left="1260" w:hanging="360"/>
      </w:pPr>
      <w:rPr>
        <w:rFonts w:hint="default"/>
        <w:lang w:val="en-US" w:eastAsia="en-US" w:bidi="ar-SA"/>
      </w:rPr>
    </w:lvl>
    <w:lvl w:ilvl="3" w:tplc="DDD60FC0">
      <w:numFmt w:val="bullet"/>
      <w:lvlText w:val="•"/>
      <w:lvlJc w:val="left"/>
      <w:pPr>
        <w:ind w:left="2270" w:hanging="360"/>
      </w:pPr>
      <w:rPr>
        <w:rFonts w:hint="default"/>
        <w:lang w:val="en-US" w:eastAsia="en-US" w:bidi="ar-SA"/>
      </w:rPr>
    </w:lvl>
    <w:lvl w:ilvl="4" w:tplc="7CCE62A6">
      <w:numFmt w:val="bullet"/>
      <w:lvlText w:val="•"/>
      <w:lvlJc w:val="left"/>
      <w:pPr>
        <w:ind w:left="3281" w:hanging="360"/>
      </w:pPr>
      <w:rPr>
        <w:rFonts w:hint="default"/>
        <w:lang w:val="en-US" w:eastAsia="en-US" w:bidi="ar-SA"/>
      </w:rPr>
    </w:lvl>
    <w:lvl w:ilvl="5" w:tplc="FDA67E42">
      <w:numFmt w:val="bullet"/>
      <w:lvlText w:val="•"/>
      <w:lvlJc w:val="left"/>
      <w:pPr>
        <w:ind w:left="4292" w:hanging="360"/>
      </w:pPr>
      <w:rPr>
        <w:rFonts w:hint="default"/>
        <w:lang w:val="en-US" w:eastAsia="en-US" w:bidi="ar-SA"/>
      </w:rPr>
    </w:lvl>
    <w:lvl w:ilvl="6" w:tplc="33F8165A">
      <w:numFmt w:val="bullet"/>
      <w:lvlText w:val="•"/>
      <w:lvlJc w:val="left"/>
      <w:pPr>
        <w:ind w:left="5303" w:hanging="360"/>
      </w:pPr>
      <w:rPr>
        <w:rFonts w:hint="default"/>
        <w:lang w:val="en-US" w:eastAsia="en-US" w:bidi="ar-SA"/>
      </w:rPr>
    </w:lvl>
    <w:lvl w:ilvl="7" w:tplc="EF427168">
      <w:numFmt w:val="bullet"/>
      <w:lvlText w:val="•"/>
      <w:lvlJc w:val="left"/>
      <w:pPr>
        <w:ind w:left="6314" w:hanging="360"/>
      </w:pPr>
      <w:rPr>
        <w:rFonts w:hint="default"/>
        <w:lang w:val="en-US" w:eastAsia="en-US" w:bidi="ar-SA"/>
      </w:rPr>
    </w:lvl>
    <w:lvl w:ilvl="8" w:tplc="29B42886">
      <w:numFmt w:val="bullet"/>
      <w:lvlText w:val="•"/>
      <w:lvlJc w:val="left"/>
      <w:pPr>
        <w:ind w:left="7324" w:hanging="360"/>
      </w:pPr>
      <w:rPr>
        <w:rFonts w:hint="default"/>
        <w:lang w:val="en-US" w:eastAsia="en-US" w:bidi="ar-SA"/>
      </w:rPr>
    </w:lvl>
  </w:abstractNum>
  <w:num w:numId="1" w16cid:durableId="1225331323">
    <w:abstractNumId w:val="1"/>
  </w:num>
  <w:num w:numId="2" w16cid:durableId="7348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A3"/>
    <w:rsid w:val="000B3CA4"/>
    <w:rsid w:val="005144CA"/>
    <w:rsid w:val="0078341C"/>
    <w:rsid w:val="00830DE1"/>
    <w:rsid w:val="00955BDC"/>
    <w:rsid w:val="00AC0BEF"/>
    <w:rsid w:val="00BC4CA3"/>
    <w:rsid w:val="00C86E99"/>
    <w:rsid w:val="00EB722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1377"/>
  <w15:docId w15:val="{2CC8A37A-CBA4-42B5-BFF3-1CA7AF10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19"/>
        <w:szCs w:val="19"/>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Lucida Sans Unicode" w:hAnsi="Lucida Sans Unicode" w:eastAsia="Lucida Sans Unicode" w:cs="Lucida Sans Unicod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702" w:hanging="567"/>
      <w:jc w:val="both"/>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830DE1"/>
    <w:pPr>
      <w:tabs>
        <w:tab w:val="center" w:pos="4536"/>
        <w:tab w:val="right" w:pos="9072"/>
      </w:tabs>
    </w:pPr>
  </w:style>
  <w:style w:type="character" w:styleId="HeaderChar" w:customStyle="1">
    <w:name w:val="Header Char"/>
    <w:basedOn w:val="DefaultParagraphFont"/>
    <w:link w:val="Header"/>
    <w:uiPriority w:val="99"/>
    <w:rsid w:val="00830DE1"/>
    <w:rPr>
      <w:rFonts w:ascii="Lucida Sans Unicode" w:hAnsi="Lucida Sans Unicode" w:eastAsia="Lucida Sans Unicode" w:cs="Lucida Sans Unicode"/>
    </w:rPr>
  </w:style>
  <w:style w:type="paragraph" w:styleId="Footer">
    <w:name w:val="footer"/>
    <w:basedOn w:val="Normal"/>
    <w:link w:val="FooterChar"/>
    <w:uiPriority w:val="99"/>
    <w:unhideWhenUsed/>
    <w:rsid w:val="00830DE1"/>
    <w:pPr>
      <w:tabs>
        <w:tab w:val="center" w:pos="4536"/>
        <w:tab w:val="right" w:pos="9072"/>
      </w:tabs>
    </w:pPr>
  </w:style>
  <w:style w:type="character" w:styleId="FooterChar" w:customStyle="1">
    <w:name w:val="Footer Char"/>
    <w:basedOn w:val="DefaultParagraphFont"/>
    <w:link w:val="Footer"/>
    <w:uiPriority w:val="99"/>
    <w:rsid w:val="00830DE1"/>
    <w:rPr>
      <w:rFonts w:ascii="Lucida Sans Unicode" w:hAnsi="Lucida Sans Unicode" w:eastAsia="Lucida Sans Unicode" w:cs="Lucida Sans Unicode"/>
    </w:rPr>
  </w:style>
  <w:style w:type="character" w:styleId="Hyperlink">
    <w:name w:val="Hyperlink"/>
    <w:basedOn w:val="DefaultParagraphFont"/>
    <w:uiPriority w:val="99"/>
    <w:unhideWhenUsed/>
    <w:rsid w:val="00955BDC"/>
    <w:rPr>
      <w:color w:val="0000FF" w:themeColor="hyperlink"/>
      <w:u w:val="single"/>
    </w:rPr>
  </w:style>
  <w:style w:type="character" w:styleId="UnresolvedMention">
    <w:name w:val="Unresolved Mention"/>
    <w:basedOn w:val="DefaultParagraphFont"/>
    <w:uiPriority w:val="99"/>
    <w:semiHidden/>
    <w:unhideWhenUsed/>
    <w:rsid w:val="00955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ippi.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2024-11-18T09:38:47.0000000Z</dcterms:modified>
</coreProperties>
</file>

<file path=docProps/custom.xml><?xml version="1.0" encoding="utf-8"?>
<op:Properties xmlns:vt="http://schemas.openxmlformats.org/officeDocument/2006/docPropsVTypes" xmlns:op="http://schemas.openxmlformats.org/officeDocument/2006/custom-properties"/>
</file>